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eastAsia="黑体"/>
          <w:sz w:val="32"/>
          <w:szCs w:val="32"/>
        </w:rPr>
      </w:pPr>
      <w:r>
        <w:rPr>
          <w:rFonts w:eastAsia="黑体"/>
          <w:sz w:val="32"/>
          <w:szCs w:val="32"/>
        </w:rPr>
        <w:t>附件</w:t>
      </w:r>
      <w:r>
        <w:rPr>
          <w:rFonts w:hint="eastAsia" w:eastAsia="黑体"/>
          <w:sz w:val="32"/>
          <w:szCs w:val="32"/>
        </w:rPr>
        <w:t>4：</w:t>
      </w:r>
    </w:p>
    <w:p>
      <w:pPr>
        <w:spacing w:line="600" w:lineRule="exact"/>
        <w:rPr>
          <w:rFonts w:eastAsia="黑体"/>
          <w:sz w:val="32"/>
          <w:szCs w:val="32"/>
        </w:rPr>
      </w:pPr>
    </w:p>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lang w:eastAsia="zh-CN"/>
        </w:rPr>
        <w:t>湘西州商务局机关老干服务中心</w:t>
      </w:r>
      <w:r>
        <w:rPr>
          <w:rFonts w:hint="eastAsia" w:ascii="方正小标宋简体" w:hAnsi="方正小标宋简体" w:eastAsia="方正小标宋简体" w:cs="方正小标宋简体"/>
          <w:sz w:val="48"/>
          <w:szCs w:val="48"/>
        </w:rPr>
        <w:t>（单位）</w:t>
      </w:r>
    </w:p>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202</w:t>
      </w:r>
      <w:r>
        <w:rPr>
          <w:rFonts w:hint="eastAsia" w:ascii="方正小标宋简体" w:hAnsi="方正小标宋简体" w:eastAsia="方正小标宋简体" w:cs="方正小标宋简体"/>
          <w:sz w:val="48"/>
          <w:szCs w:val="48"/>
          <w:lang w:val="en-US" w:eastAsia="zh-CN"/>
        </w:rPr>
        <w:t>1</w:t>
      </w:r>
      <w:r>
        <w:rPr>
          <w:rFonts w:hint="eastAsia" w:ascii="方正小标宋简体" w:hAnsi="方正小标宋简体" w:eastAsia="方正小标宋简体" w:cs="方正小标宋简体"/>
          <w:sz w:val="48"/>
          <w:szCs w:val="48"/>
        </w:rPr>
        <w:t>年度部门整体支出绩效自评报告</w:t>
      </w:r>
    </w:p>
    <w:p>
      <w:pPr>
        <w:jc w:val="center"/>
        <w:rPr>
          <w:rFonts w:eastAsia="楷体_GB2312"/>
          <w:b/>
          <w:bCs/>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44"/>
          <w:szCs w:val="44"/>
        </w:rPr>
      </w:pPr>
    </w:p>
    <w:p>
      <w:pPr>
        <w:spacing w:line="600" w:lineRule="exact"/>
        <w:ind w:firstLine="2100" w:firstLineChars="700"/>
        <w:rPr>
          <w:rFonts w:eastAsia="黑体"/>
          <w:sz w:val="36"/>
          <w:szCs w:val="36"/>
        </w:rPr>
      </w:pPr>
      <w:r>
        <w:rPr>
          <w:rFonts w:hint="eastAsia" w:ascii="方正小标宋简体" w:hAnsi="方正小标宋简体" w:eastAsia="方正小标宋简体" w:cs="方正小标宋简体"/>
          <w:sz w:val="30"/>
          <w:szCs w:val="30"/>
          <w:lang w:eastAsia="zh-CN"/>
        </w:rPr>
        <w:t>湘西州商务局机关老干服务中心</w:t>
      </w:r>
      <w:r>
        <w:rPr>
          <w:rFonts w:eastAsia="黑体"/>
          <w:sz w:val="36"/>
          <w:szCs w:val="36"/>
        </w:rPr>
        <w:t>（盖章）：</w:t>
      </w:r>
    </w:p>
    <w:p>
      <w:pPr>
        <w:spacing w:line="600" w:lineRule="exact"/>
        <w:ind w:firstLine="2160" w:firstLineChars="600"/>
        <w:rPr>
          <w:rFonts w:hint="eastAsia" w:eastAsia="黑体"/>
          <w:sz w:val="36"/>
          <w:szCs w:val="36"/>
          <w:lang w:val="en-US" w:eastAsia="zh-CN"/>
        </w:rPr>
      </w:pPr>
      <w:r>
        <w:rPr>
          <w:rFonts w:hint="eastAsia" w:eastAsia="黑体"/>
          <w:sz w:val="36"/>
          <w:szCs w:val="36"/>
        </w:rPr>
        <w:t>预算编码：70300</w:t>
      </w:r>
      <w:r>
        <w:rPr>
          <w:rFonts w:hint="eastAsia" w:eastAsia="黑体"/>
          <w:sz w:val="36"/>
          <w:szCs w:val="36"/>
          <w:lang w:val="en-US" w:eastAsia="zh-CN"/>
        </w:rPr>
        <w:t>3</w:t>
      </w:r>
    </w:p>
    <w:p>
      <w:pPr>
        <w:spacing w:line="600" w:lineRule="exact"/>
        <w:jc w:val="center"/>
        <w:rPr>
          <w:rFonts w:eastAsia="黑体"/>
          <w:sz w:val="36"/>
          <w:szCs w:val="36"/>
        </w:rPr>
      </w:pPr>
    </w:p>
    <w:p>
      <w:pPr>
        <w:spacing w:line="600" w:lineRule="exact"/>
        <w:ind w:firstLine="2099" w:firstLineChars="656"/>
        <w:jc w:val="left"/>
        <w:rPr>
          <w:rFonts w:hint="eastAsia" w:eastAsia="仿宋_GB2312"/>
          <w:sz w:val="32"/>
          <w:szCs w:val="32"/>
        </w:rPr>
      </w:pPr>
      <w:r>
        <w:rPr>
          <w:rFonts w:hint="eastAsia" w:eastAsia="仿宋_GB2312"/>
          <w:sz w:val="32"/>
          <w:szCs w:val="32"/>
        </w:rPr>
        <w:t>评价方式：部门（单位）绩效自评</w:t>
      </w:r>
    </w:p>
    <w:p>
      <w:pPr>
        <w:spacing w:line="600" w:lineRule="exact"/>
        <w:ind w:firstLine="2099" w:firstLineChars="656"/>
        <w:jc w:val="left"/>
        <w:rPr>
          <w:rFonts w:hint="eastAsia" w:eastAsia="仿宋_GB2312" w:cs="Arial"/>
          <w:sz w:val="28"/>
          <w:szCs w:val="28"/>
        </w:rPr>
      </w:pPr>
      <w:r>
        <w:rPr>
          <w:rFonts w:hint="eastAsia" w:eastAsia="仿宋_GB2312"/>
          <w:sz w:val="32"/>
          <w:szCs w:val="32"/>
        </w:rPr>
        <w:t>评价机构：部门（单位）评价组</w:t>
      </w:r>
    </w:p>
    <w:p>
      <w:pPr>
        <w:ind w:firstLine="420" w:firstLineChars="150"/>
        <w:jc w:val="left"/>
        <w:rPr>
          <w:rFonts w:hint="eastAsia" w:eastAsia="仿宋_GB2312" w:cs="Arial"/>
          <w:sz w:val="28"/>
          <w:szCs w:val="28"/>
        </w:rPr>
      </w:pPr>
    </w:p>
    <w:p>
      <w:pPr>
        <w:jc w:val="center"/>
        <w:rPr>
          <w:rFonts w:hint="eastAsia" w:eastAsia="仿宋_GB2312" w:cs="Arial"/>
          <w:sz w:val="28"/>
          <w:szCs w:val="28"/>
        </w:rPr>
      </w:pPr>
    </w:p>
    <w:p>
      <w:pPr>
        <w:jc w:val="center"/>
        <w:rPr>
          <w:rFonts w:hint="eastAsia" w:eastAsia="仿宋_GB2312" w:cs="Arial"/>
          <w:sz w:val="28"/>
          <w:szCs w:val="28"/>
        </w:rPr>
      </w:pPr>
    </w:p>
    <w:p>
      <w:pPr>
        <w:jc w:val="center"/>
        <w:rPr>
          <w:rFonts w:hint="eastAsia" w:eastAsia="仿宋_GB2312" w:cs="Arial"/>
          <w:sz w:val="28"/>
          <w:szCs w:val="28"/>
        </w:rPr>
      </w:pPr>
    </w:p>
    <w:p>
      <w:pPr>
        <w:jc w:val="center"/>
        <w:rPr>
          <w:rFonts w:hint="eastAsia" w:eastAsia="仿宋_GB2312" w:cs="Arial"/>
          <w:sz w:val="28"/>
          <w:szCs w:val="28"/>
        </w:rPr>
      </w:pPr>
    </w:p>
    <w:p>
      <w:pPr>
        <w:jc w:val="center"/>
        <w:rPr>
          <w:rFonts w:hint="eastAsia" w:eastAsia="仿宋_GB2312" w:cs="Arial"/>
          <w:sz w:val="28"/>
          <w:szCs w:val="28"/>
        </w:r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报告时间：</w:t>
      </w:r>
      <w:r>
        <w:rPr>
          <w:rFonts w:hint="eastAsia" w:ascii="仿宋_GB2312" w:hAnsi="仿宋_GB2312" w:eastAsia="仿宋_GB2312" w:cs="仿宋_GB2312"/>
          <w:sz w:val="28"/>
          <w:szCs w:val="28"/>
          <w:u w:val="single"/>
        </w:rPr>
        <w:t xml:space="preserve">   202</w:t>
      </w:r>
      <w:r>
        <w:rPr>
          <w:rFonts w:hint="eastAsia" w:ascii="仿宋_GB2312" w:hAnsi="仿宋_GB2312" w:eastAsia="仿宋_GB2312" w:cs="仿宋_GB2312"/>
          <w:sz w:val="28"/>
          <w:szCs w:val="28"/>
          <w:u w:val="single"/>
          <w:lang w:val="en-US" w:eastAsia="zh-CN"/>
        </w:rPr>
        <w:t>2</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6   </w:t>
      </w:r>
      <w:r>
        <w:rPr>
          <w:rFonts w:hint="eastAsia" w:ascii="仿宋_GB2312" w:hAnsi="仿宋_GB2312" w:eastAsia="仿宋_GB2312" w:cs="仿宋_GB2312"/>
          <w:sz w:val="28"/>
          <w:szCs w:val="28"/>
        </w:rPr>
        <w:t>月</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（此页为封面）</w:t>
      </w:r>
    </w:p>
    <w:p>
      <w:pPr>
        <w:spacing w:line="540" w:lineRule="exact"/>
        <w:jc w:val="left"/>
        <w:rPr>
          <w:rFonts w:hint="eastAsia" w:eastAsia="黑体" w:cs="Arial"/>
          <w:sz w:val="32"/>
          <w:szCs w:val="32"/>
          <w:shd w:val="clear" w:color="auto" w:fill="FFFFFF"/>
        </w:rPr>
      </w:pPr>
    </w:p>
    <w:p>
      <w:pPr>
        <w:spacing w:line="540" w:lineRule="exact"/>
        <w:jc w:val="left"/>
        <w:rPr>
          <w:rFonts w:hint="eastAsia" w:eastAsia="黑体" w:cs="Arial"/>
          <w:sz w:val="32"/>
          <w:szCs w:val="32"/>
          <w:shd w:val="clear" w:color="auto" w:fill="FFFFFF"/>
        </w:rPr>
      </w:pP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0"/>
        <w:gridCol w:w="212"/>
        <w:gridCol w:w="46"/>
        <w:gridCol w:w="1080"/>
        <w:gridCol w:w="675"/>
        <w:gridCol w:w="680"/>
        <w:gridCol w:w="265"/>
        <w:gridCol w:w="817"/>
        <w:gridCol w:w="1479"/>
        <w:gridCol w:w="226"/>
        <w:gridCol w:w="194"/>
        <w:gridCol w:w="261"/>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联系人</w:t>
            </w:r>
          </w:p>
        </w:tc>
        <w:tc>
          <w:tcPr>
            <w:tcW w:w="3563" w:type="dxa"/>
            <w:gridSpan w:val="6"/>
            <w:noWrap w:val="0"/>
            <w:vAlign w:val="center"/>
          </w:tcPr>
          <w:p>
            <w:pPr>
              <w:autoSpaceDN w:val="0"/>
              <w:spacing w:line="320" w:lineRule="exact"/>
              <w:jc w:val="center"/>
              <w:textAlignment w:val="center"/>
              <w:rPr>
                <w:rFonts w:hint="eastAsia" w:eastAsia="仿宋_GB2312" w:cs="仿宋_GB2312"/>
                <w:sz w:val="24"/>
                <w:lang w:eastAsia="zh-CN"/>
              </w:rPr>
            </w:pPr>
            <w:r>
              <w:rPr>
                <w:rFonts w:hint="eastAsia" w:eastAsia="仿宋_GB2312" w:cs="仿宋_GB2312"/>
                <w:sz w:val="24"/>
                <w:lang w:eastAsia="zh-CN"/>
              </w:rPr>
              <w:t>陈春娥</w:t>
            </w:r>
          </w:p>
        </w:tc>
        <w:tc>
          <w:tcPr>
            <w:tcW w:w="1479"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联系电话</w:t>
            </w:r>
          </w:p>
        </w:tc>
        <w:tc>
          <w:tcPr>
            <w:tcW w:w="3106" w:type="dxa"/>
            <w:gridSpan w:val="8"/>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15007401868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人员编制</w:t>
            </w:r>
          </w:p>
        </w:tc>
        <w:tc>
          <w:tcPr>
            <w:tcW w:w="3563" w:type="dxa"/>
            <w:gridSpan w:val="6"/>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5</w:t>
            </w:r>
          </w:p>
        </w:tc>
        <w:tc>
          <w:tcPr>
            <w:tcW w:w="1479"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实有人数</w:t>
            </w:r>
          </w:p>
        </w:tc>
        <w:tc>
          <w:tcPr>
            <w:tcW w:w="3106" w:type="dxa"/>
            <w:gridSpan w:val="8"/>
            <w:noWrap w:val="0"/>
            <w:vAlign w:val="center"/>
          </w:tcPr>
          <w:p>
            <w:pPr>
              <w:autoSpaceDN w:val="0"/>
              <w:spacing w:line="320" w:lineRule="exact"/>
              <w:jc w:val="center"/>
              <w:textAlignment w:val="center"/>
              <w:rPr>
                <w:rFonts w:hint="eastAsia" w:eastAsia="仿宋_GB2312" w:cs="仿宋_GB2312"/>
                <w:sz w:val="24"/>
                <w:lang w:val="en-US" w:eastAsia="zh-CN"/>
              </w:rPr>
            </w:pPr>
            <w:r>
              <w:rPr>
                <w:rFonts w:hint="eastAsia" w:eastAsia="仿宋_GB2312" w:cs="仿宋_GB2312"/>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15"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职能职责概述</w:t>
            </w:r>
          </w:p>
        </w:tc>
        <w:tc>
          <w:tcPr>
            <w:tcW w:w="8148" w:type="dxa"/>
            <w:gridSpan w:val="15"/>
            <w:noWrap w:val="0"/>
            <w:vAlign w:val="center"/>
          </w:tcPr>
          <w:p>
            <w:pPr>
              <w:pStyle w:val="9"/>
              <w:tabs>
                <w:tab w:val="left" w:pos="1365"/>
              </w:tabs>
              <w:spacing w:line="575" w:lineRule="exact"/>
              <w:ind w:firstLine="620"/>
            </w:pPr>
            <w:r>
              <w:rPr>
                <w:color w:val="000000"/>
              </w:rPr>
              <w:t>（一）</w:t>
            </w:r>
            <w:r>
              <w:rPr>
                <w:rFonts w:hint="eastAsia"/>
                <w:color w:val="000000"/>
                <w:lang w:eastAsia="zh-CN"/>
              </w:rPr>
              <w:t>负责贯彻执行离退休老干部工作的方针、政策、规定，并制定具体实施办法。</w:t>
            </w:r>
            <w:r>
              <w:rPr>
                <w:color w:val="000000"/>
              </w:rPr>
              <w:tab/>
            </w:r>
          </w:p>
          <w:p>
            <w:pPr>
              <w:pStyle w:val="9"/>
              <w:tabs>
                <w:tab w:val="left" w:pos="1374"/>
              </w:tabs>
              <w:spacing w:line="605" w:lineRule="exact"/>
              <w:ind w:firstLine="620"/>
            </w:pPr>
            <w:r>
              <w:rPr>
                <w:color w:val="000000"/>
              </w:rPr>
              <w:t>（二）</w:t>
            </w:r>
            <w:r>
              <w:rPr>
                <w:rFonts w:hint="eastAsia"/>
                <w:color w:val="000000"/>
                <w:lang w:eastAsia="zh-CN"/>
              </w:rPr>
              <w:t>负责加强离退休干部的思想政治工作。</w:t>
            </w:r>
            <w:r>
              <w:rPr>
                <w:color w:val="000000"/>
              </w:rPr>
              <w:tab/>
            </w:r>
          </w:p>
          <w:p>
            <w:pPr>
              <w:pStyle w:val="9"/>
              <w:tabs>
                <w:tab w:val="left" w:pos="1379"/>
              </w:tabs>
              <w:spacing w:line="569" w:lineRule="exact"/>
              <w:ind w:firstLine="620"/>
              <w:rPr>
                <w:rFonts w:hint="eastAsia" w:eastAsia="宋体"/>
                <w:lang w:eastAsia="zh-CN"/>
              </w:rPr>
            </w:pPr>
            <w:r>
              <w:rPr>
                <w:color w:val="000000"/>
              </w:rPr>
              <w:t>（三）</w:t>
            </w:r>
            <w:r>
              <w:rPr>
                <w:color w:val="000000"/>
              </w:rPr>
              <w:tab/>
            </w:r>
            <w:r>
              <w:rPr>
                <w:rFonts w:hint="eastAsia"/>
                <w:color w:val="000000"/>
                <w:lang w:eastAsia="zh-CN"/>
              </w:rPr>
              <w:t>做好局机关离退休干部活动室，组织有利于离退休干部身心健康的各类活动。</w:t>
            </w:r>
          </w:p>
          <w:p>
            <w:pPr>
              <w:pStyle w:val="9"/>
              <w:tabs>
                <w:tab w:val="left" w:pos="1407"/>
              </w:tabs>
              <w:spacing w:line="569" w:lineRule="exact"/>
              <w:ind w:firstLine="620"/>
            </w:pPr>
            <w:r>
              <w:rPr>
                <w:color w:val="000000"/>
              </w:rPr>
              <w:t>（四）</w:t>
            </w:r>
            <w:r>
              <w:rPr>
                <w:rFonts w:hint="eastAsia"/>
                <w:color w:val="000000"/>
                <w:lang w:eastAsia="zh-CN"/>
              </w:rPr>
              <w:t>负责做好局机关离退休干部的保健工作。</w:t>
            </w:r>
            <w:r>
              <w:rPr>
                <w:color w:val="000000"/>
              </w:rPr>
              <w:tab/>
            </w:r>
          </w:p>
          <w:p>
            <w:pPr>
              <w:autoSpaceDN w:val="0"/>
              <w:spacing w:line="320" w:lineRule="exact"/>
              <w:ind w:firstLine="560" w:firstLineChars="200"/>
              <w:jc w:val="left"/>
              <w:textAlignment w:val="center"/>
              <w:rPr>
                <w:rFonts w:hint="eastAsia" w:ascii="宋体" w:hAnsi="宋体" w:cs="宋体"/>
                <w:color w:val="000000"/>
                <w:sz w:val="28"/>
                <w:szCs w:val="28"/>
              </w:rPr>
            </w:pPr>
          </w:p>
          <w:p>
            <w:pPr>
              <w:numPr>
                <w:ilvl w:val="0"/>
                <w:numId w:val="0"/>
              </w:numPr>
              <w:autoSpaceDN w:val="0"/>
              <w:spacing w:line="320" w:lineRule="exact"/>
              <w:ind w:firstLine="560" w:firstLineChars="200"/>
              <w:jc w:val="left"/>
              <w:textAlignment w:val="center"/>
              <w:rPr>
                <w:rFonts w:hint="eastAsia" w:eastAsia="宋体" w:cs="仿宋_GB2312"/>
                <w:sz w:val="24"/>
                <w:lang w:eastAsia="zh-CN"/>
              </w:rPr>
            </w:pPr>
            <w:r>
              <w:rPr>
                <w:color w:val="000000"/>
                <w:sz w:val="28"/>
                <w:szCs w:val="28"/>
              </w:rPr>
              <w:t>（</w:t>
            </w:r>
            <w:r>
              <w:rPr>
                <w:rFonts w:hint="eastAsia"/>
                <w:color w:val="000000"/>
                <w:sz w:val="28"/>
                <w:szCs w:val="28"/>
                <w:lang w:val="en-US" w:eastAsia="zh-CN"/>
              </w:rPr>
              <w:t>五</w:t>
            </w:r>
            <w:r>
              <w:rPr>
                <w:color w:val="000000"/>
                <w:sz w:val="28"/>
                <w:szCs w:val="28"/>
              </w:rPr>
              <w:t>）</w:t>
            </w:r>
            <w:r>
              <w:rPr>
                <w:rFonts w:hint="eastAsia" w:ascii="宋体" w:hAnsi="宋体" w:cs="宋体"/>
                <w:color w:val="000000"/>
                <w:sz w:val="28"/>
                <w:szCs w:val="28"/>
                <w:lang w:val="en-US" w:eastAsia="zh-CN"/>
              </w:rPr>
              <w:t xml:space="preserve"> </w:t>
            </w:r>
            <w:r>
              <w:rPr>
                <w:color w:val="000000"/>
              </w:rPr>
              <w:tab/>
            </w:r>
            <w:r>
              <w:rPr>
                <w:rFonts w:hint="eastAsia"/>
                <w:color w:val="000000"/>
                <w:sz w:val="28"/>
                <w:szCs w:val="28"/>
                <w:lang w:eastAsia="zh-CN"/>
              </w:rPr>
              <w:t>承办州商务局交办的其他事项</w:t>
            </w:r>
            <w:r>
              <w:rPr>
                <w:rFonts w:hint="eastAsia"/>
                <w:color w:val="00000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759"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年度主要</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工作内容</w:t>
            </w:r>
          </w:p>
        </w:tc>
        <w:tc>
          <w:tcPr>
            <w:tcW w:w="8148" w:type="dxa"/>
            <w:gridSpan w:val="15"/>
            <w:noWrap w:val="0"/>
            <w:vAlign w:val="center"/>
          </w:tcPr>
          <w:p>
            <w:pPr>
              <w:pStyle w:val="9"/>
              <w:tabs>
                <w:tab w:val="left" w:pos="1365"/>
              </w:tabs>
              <w:spacing w:line="575" w:lineRule="exact"/>
              <w:ind w:firstLine="620"/>
              <w:rPr>
                <w:rFonts w:hint="eastAsia" w:ascii="宋体" w:hAnsi="宋体" w:cs="宋体"/>
                <w:color w:val="000000"/>
                <w:kern w:val="0"/>
                <w:sz w:val="28"/>
                <w:szCs w:val="28"/>
                <w:lang w:bidi="ar"/>
              </w:rPr>
            </w:pPr>
            <w:r>
              <w:rPr>
                <w:rFonts w:hint="eastAsia" w:ascii="宋体" w:hAnsi="宋体" w:cs="宋体"/>
                <w:sz w:val="28"/>
                <w:szCs w:val="28"/>
              </w:rPr>
              <w:t>任务1：</w:t>
            </w:r>
            <w:r>
              <w:rPr>
                <w:rFonts w:hint="eastAsia"/>
                <w:color w:val="000000"/>
                <w:lang w:eastAsia="zh-CN"/>
              </w:rPr>
              <w:t>负责贯彻执行离退休老干部工作的方针、政策、规定，并制定具体实施办法；负责加强离退休干部的思想政治</w:t>
            </w:r>
          </w:p>
          <w:p>
            <w:pPr>
              <w:autoSpaceDN w:val="0"/>
              <w:spacing w:line="320" w:lineRule="exact"/>
              <w:ind w:firstLine="560" w:firstLineChars="200"/>
              <w:jc w:val="left"/>
              <w:textAlignment w:val="center"/>
              <w:rPr>
                <w:rFonts w:hint="eastAsia" w:ascii="宋体" w:hAnsi="宋体" w:cs="宋体"/>
                <w:color w:val="000000"/>
                <w:kern w:val="0"/>
                <w:sz w:val="28"/>
                <w:szCs w:val="28"/>
                <w:lang w:bidi="ar"/>
              </w:rPr>
            </w:pPr>
          </w:p>
          <w:p>
            <w:pPr>
              <w:autoSpaceDN w:val="0"/>
              <w:spacing w:line="320" w:lineRule="exact"/>
              <w:ind w:firstLine="560" w:firstLineChars="200"/>
              <w:jc w:val="left"/>
              <w:textAlignment w:val="center"/>
              <w:rPr>
                <w:rFonts w:hint="eastAsia" w:ascii="宋体" w:hAnsi="宋体" w:eastAsia="宋体" w:cs="宋体"/>
                <w:sz w:val="28"/>
                <w:szCs w:val="28"/>
                <w:lang w:eastAsia="zh-CN"/>
              </w:rPr>
            </w:pPr>
            <w:r>
              <w:rPr>
                <w:rFonts w:hint="eastAsia" w:ascii="宋体" w:hAnsi="宋体" w:cs="宋体"/>
                <w:sz w:val="28"/>
                <w:szCs w:val="28"/>
              </w:rPr>
              <w:t>任务2：</w:t>
            </w:r>
            <w:r>
              <w:rPr>
                <w:rFonts w:hint="eastAsia" w:ascii="宋体" w:hAnsi="宋体" w:cs="宋体"/>
                <w:sz w:val="28"/>
                <w:szCs w:val="28"/>
                <w:lang w:eastAsia="zh-CN"/>
              </w:rPr>
              <w:t>开展有利于离退休老干部的传统节日活动。</w:t>
            </w:r>
          </w:p>
          <w:p>
            <w:pPr>
              <w:autoSpaceDN w:val="0"/>
              <w:spacing w:line="320" w:lineRule="exact"/>
              <w:ind w:firstLine="560" w:firstLineChars="200"/>
              <w:jc w:val="left"/>
              <w:textAlignment w:val="center"/>
              <w:rPr>
                <w:rFonts w:hint="eastAsia" w:ascii="宋体" w:hAnsi="宋体" w:cs="宋体"/>
                <w:sz w:val="28"/>
                <w:szCs w:val="28"/>
              </w:rPr>
            </w:pPr>
          </w:p>
          <w:p>
            <w:pPr>
              <w:autoSpaceDN w:val="0"/>
              <w:spacing w:line="320" w:lineRule="exact"/>
              <w:ind w:firstLine="560" w:firstLineChars="200"/>
              <w:jc w:val="left"/>
              <w:textAlignment w:val="center"/>
              <w:rPr>
                <w:rFonts w:hint="eastAsia" w:ascii="宋体" w:hAnsi="宋体" w:eastAsia="宋体" w:cs="宋体"/>
                <w:sz w:val="28"/>
                <w:szCs w:val="28"/>
                <w:lang w:eastAsia="zh-CN"/>
              </w:rPr>
            </w:pPr>
            <w:r>
              <w:rPr>
                <w:rFonts w:hint="eastAsia" w:ascii="宋体" w:hAnsi="宋体" w:cs="宋体"/>
                <w:sz w:val="28"/>
                <w:szCs w:val="28"/>
              </w:rPr>
              <w:t>任务3：</w:t>
            </w:r>
            <w:r>
              <w:rPr>
                <w:rFonts w:hint="eastAsia" w:ascii="宋体" w:hAnsi="宋体" w:cs="宋体"/>
                <w:sz w:val="28"/>
                <w:szCs w:val="28"/>
                <w:lang w:eastAsia="zh-CN"/>
              </w:rPr>
              <w:t>对生病、死亡离退休老干部的的慰问。</w:t>
            </w:r>
          </w:p>
          <w:p>
            <w:pPr>
              <w:autoSpaceDN w:val="0"/>
              <w:spacing w:line="320" w:lineRule="exact"/>
              <w:ind w:firstLine="560" w:firstLineChars="200"/>
              <w:jc w:val="left"/>
              <w:textAlignment w:val="center"/>
              <w:rPr>
                <w:rFonts w:hint="eastAsia" w:ascii="宋体" w:hAnsi="宋体" w:cs="宋体"/>
                <w:sz w:val="28"/>
                <w:szCs w:val="28"/>
              </w:rPr>
            </w:pPr>
          </w:p>
          <w:p>
            <w:pPr>
              <w:autoSpaceDN w:val="0"/>
              <w:spacing w:line="320" w:lineRule="exact"/>
              <w:ind w:firstLine="560" w:firstLineChars="200"/>
              <w:jc w:val="left"/>
              <w:textAlignment w:val="center"/>
              <w:rPr>
                <w:rFonts w:hint="eastAsia" w:ascii="宋体" w:hAnsi="宋体" w:cs="宋体"/>
                <w:sz w:val="28"/>
                <w:szCs w:val="28"/>
              </w:rPr>
            </w:pPr>
          </w:p>
          <w:p>
            <w:pPr>
              <w:autoSpaceDN w:val="0"/>
              <w:spacing w:line="320" w:lineRule="exact"/>
              <w:ind w:firstLine="560" w:firstLineChars="200"/>
              <w:jc w:val="left"/>
              <w:textAlignment w:val="center"/>
              <w:rPr>
                <w:rFonts w:hint="eastAsia" w:ascii="宋体" w:hAnsi="宋体" w:cs="宋体"/>
                <w:sz w:val="28"/>
                <w:szCs w:val="28"/>
              </w:rPr>
            </w:pPr>
          </w:p>
          <w:p>
            <w:pPr>
              <w:autoSpaceDN w:val="0"/>
              <w:spacing w:line="320" w:lineRule="exact"/>
              <w:ind w:firstLine="560" w:firstLineChars="200"/>
              <w:jc w:val="left"/>
              <w:textAlignment w:val="center"/>
              <w:rPr>
                <w:rFonts w:hint="eastAsia" w:ascii="宋体" w:hAnsi="宋体" w:cs="宋体"/>
                <w:color w:val="000000"/>
                <w:kern w:val="0"/>
                <w:sz w:val="28"/>
                <w:szCs w:val="28"/>
                <w:lang w:bidi="ar"/>
              </w:rPr>
            </w:pPr>
          </w:p>
          <w:p>
            <w:pPr>
              <w:autoSpaceDN w:val="0"/>
              <w:spacing w:line="320" w:lineRule="exact"/>
              <w:ind w:firstLine="560" w:firstLineChars="200"/>
              <w:jc w:val="left"/>
              <w:textAlignment w:val="center"/>
              <w:rPr>
                <w:rFonts w:hint="eastAsia" w:ascii="宋体" w:hAnsi="宋体" w:cs="宋体"/>
                <w:sz w:val="28"/>
                <w:szCs w:val="28"/>
              </w:rPr>
            </w:pPr>
          </w:p>
          <w:p>
            <w:pPr>
              <w:autoSpaceDN w:val="0"/>
              <w:spacing w:line="320" w:lineRule="exact"/>
              <w:jc w:val="left"/>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55"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年度部门（单位）总体运行情况及取得的成绩</w:t>
            </w:r>
          </w:p>
        </w:tc>
        <w:tc>
          <w:tcPr>
            <w:tcW w:w="8148" w:type="dxa"/>
            <w:gridSpan w:val="15"/>
            <w:noWrap w:val="0"/>
            <w:vAlign w:val="center"/>
          </w:tcPr>
          <w:p>
            <w:pPr>
              <w:pStyle w:val="4"/>
              <w:shd w:val="clear" w:color="auto" w:fill="FFFFFF"/>
              <w:spacing w:before="0" w:beforeAutospacing="0" w:after="0" w:afterAutospacing="0" w:line="450" w:lineRule="atLeast"/>
              <w:ind w:right="300"/>
              <w:jc w:val="both"/>
              <w:rPr>
                <w:rFonts w:hint="eastAsia" w:ascii="宋体" w:hAnsi="宋体" w:eastAsia="宋体" w:cs="宋体"/>
                <w:b/>
                <w:bCs/>
                <w:color w:val="222222"/>
                <w:sz w:val="22"/>
                <w:szCs w:val="22"/>
              </w:rPr>
            </w:pPr>
            <w:r>
              <w:rPr>
                <w:rFonts w:hint="eastAsia" w:ascii="宋体" w:hAnsi="宋体" w:eastAsia="宋体" w:cs="宋体"/>
                <w:color w:val="222222"/>
                <w:sz w:val="22"/>
                <w:szCs w:val="22"/>
              </w:rPr>
              <w:t>　</w:t>
            </w:r>
            <w:r>
              <w:rPr>
                <w:rFonts w:hint="eastAsia" w:ascii="宋体" w:hAnsi="宋体" w:eastAsia="宋体" w:cs="宋体"/>
                <w:b/>
                <w:bCs/>
                <w:color w:val="222222"/>
                <w:sz w:val="22"/>
                <w:szCs w:val="22"/>
              </w:rPr>
              <w:t>一、加强老干部支部建设，让老干部“老有所学”，</w:t>
            </w:r>
            <w:r>
              <w:rPr>
                <w:rFonts w:hint="eastAsia" w:ascii="宋体" w:hAnsi="宋体" w:eastAsia="宋体" w:cs="宋体"/>
                <w:b/>
                <w:bCs/>
                <w:color w:val="222222"/>
                <w:sz w:val="22"/>
                <w:szCs w:val="22"/>
                <w:lang w:eastAsia="zh-CN"/>
              </w:rPr>
              <w:t>政治</w:t>
            </w:r>
            <w:r>
              <w:rPr>
                <w:rFonts w:hint="eastAsia" w:ascii="宋体" w:hAnsi="宋体" w:eastAsia="宋体" w:cs="宋体"/>
                <w:b/>
                <w:bCs/>
                <w:color w:val="222222"/>
                <w:sz w:val="22"/>
                <w:szCs w:val="22"/>
              </w:rPr>
              <w:t>思想的弦不放松。</w:t>
            </w:r>
          </w:p>
          <w:p>
            <w:pPr>
              <w:pStyle w:val="4"/>
              <w:shd w:val="clear" w:color="auto" w:fill="FFFFFF"/>
              <w:spacing w:before="0" w:beforeAutospacing="0" w:after="0" w:afterAutospacing="0" w:line="450" w:lineRule="atLeast"/>
              <w:ind w:right="300" w:firstLine="560"/>
              <w:jc w:val="both"/>
              <w:rPr>
                <w:rFonts w:hint="eastAsia" w:ascii="宋体" w:hAnsi="宋体" w:eastAsia="宋体" w:cs="宋体"/>
                <w:color w:val="222222"/>
                <w:sz w:val="22"/>
                <w:szCs w:val="22"/>
                <w:lang w:eastAsia="zh-CN"/>
              </w:rPr>
            </w:pPr>
            <w:r>
              <w:rPr>
                <w:rFonts w:hint="eastAsia" w:ascii="宋体" w:hAnsi="宋体" w:eastAsia="宋体" w:cs="宋体"/>
                <w:color w:val="222222"/>
                <w:sz w:val="22"/>
                <w:szCs w:val="22"/>
              </w:rPr>
              <w:t>党支部是党的基层组织，是党与党员群众血肉联系的纽带，是党工作和战斗力的基础。搞好老干部支部建设，事关党的理论政策的贯彻落实，事关全局工作的和谐发展。一年来，我们把加强老干部支部建设，把思想政治工作放在首位，多形式、多渠道开展政治理论学习，提高老干部的政治素质和觉悟。一是深入开展了“五好支部”的创建活动，强班子、带队伍，定机制，全年召开支委会7次，召开支部大会3次。二是认真组织学习活动。做到了学习内容新</w:t>
            </w:r>
            <w:r>
              <w:rPr>
                <w:rFonts w:hint="eastAsia" w:cs="宋体"/>
                <w:color w:val="222222"/>
                <w:sz w:val="22"/>
                <w:szCs w:val="22"/>
                <w:lang w:eastAsia="zh-CN"/>
              </w:rPr>
              <w:t>，</w:t>
            </w:r>
            <w:r>
              <w:rPr>
                <w:rFonts w:hint="eastAsia" w:ascii="宋体" w:hAnsi="宋体" w:eastAsia="宋体" w:cs="宋体"/>
                <w:sz w:val="22"/>
                <w:szCs w:val="22"/>
                <w:lang w:eastAsia="zh-CN"/>
              </w:rPr>
              <w:t>学习方法</w:t>
            </w:r>
            <w:r>
              <w:rPr>
                <w:rFonts w:hint="eastAsia" w:ascii="宋体" w:hAnsi="宋体" w:eastAsia="宋体" w:cs="宋体"/>
                <w:color w:val="222222"/>
                <w:sz w:val="22"/>
                <w:szCs w:val="22"/>
              </w:rPr>
              <w:t>活。学习</w:t>
            </w:r>
            <w:r>
              <w:rPr>
                <w:rFonts w:hint="eastAsia" w:ascii="宋体" w:hAnsi="宋体" w:eastAsia="宋体" w:cs="宋体"/>
                <w:sz w:val="22"/>
                <w:szCs w:val="22"/>
                <w:lang w:eastAsia="zh-CN"/>
              </w:rPr>
              <w:t>措施</w:t>
            </w:r>
            <w:r>
              <w:rPr>
                <w:rFonts w:hint="eastAsia" w:ascii="宋体" w:hAnsi="宋体" w:eastAsia="宋体" w:cs="宋体"/>
                <w:color w:val="222222"/>
                <w:sz w:val="22"/>
                <w:szCs w:val="22"/>
              </w:rPr>
              <w:t>上实。举办了“</w:t>
            </w:r>
            <w:r>
              <w:rPr>
                <w:rFonts w:hint="eastAsia" w:ascii="宋体" w:hAnsi="宋体" w:eastAsia="宋体" w:cs="宋体"/>
                <w:color w:val="222222"/>
                <w:sz w:val="22"/>
                <w:szCs w:val="22"/>
                <w:lang w:eastAsia="zh-CN"/>
              </w:rPr>
              <w:t>《习近平谈治国理政》第三卷专题讲座</w:t>
            </w:r>
            <w:r>
              <w:rPr>
                <w:rFonts w:hint="eastAsia" w:ascii="宋体" w:hAnsi="宋体" w:eastAsia="宋体" w:cs="宋体"/>
                <w:color w:val="222222"/>
                <w:sz w:val="22"/>
                <w:szCs w:val="22"/>
              </w:rPr>
              <w:t>、“</w:t>
            </w:r>
            <w:r>
              <w:rPr>
                <w:rFonts w:hint="eastAsia" w:ascii="宋体" w:hAnsi="宋体" w:eastAsia="宋体" w:cs="宋体"/>
                <w:color w:val="222222"/>
                <w:sz w:val="22"/>
                <w:szCs w:val="22"/>
                <w:lang w:eastAsia="zh-CN"/>
              </w:rPr>
              <w:t>拥抱民法典专题学习</w:t>
            </w:r>
            <w:r>
              <w:rPr>
                <w:rFonts w:hint="eastAsia" w:ascii="宋体" w:hAnsi="宋体" w:eastAsia="宋体" w:cs="宋体"/>
                <w:color w:val="222222"/>
                <w:sz w:val="22"/>
                <w:szCs w:val="22"/>
              </w:rPr>
              <w:t>、“十</w:t>
            </w:r>
            <w:r>
              <w:rPr>
                <w:rFonts w:hint="eastAsia" w:ascii="宋体" w:hAnsi="宋体" w:eastAsia="宋体" w:cs="宋体"/>
                <w:color w:val="222222"/>
                <w:sz w:val="22"/>
                <w:szCs w:val="22"/>
                <w:lang w:eastAsia="zh-CN"/>
              </w:rPr>
              <w:t>九</w:t>
            </w:r>
            <w:r>
              <w:rPr>
                <w:rFonts w:hint="eastAsia" w:ascii="宋体" w:hAnsi="宋体" w:eastAsia="宋体" w:cs="宋体"/>
                <w:color w:val="222222"/>
                <w:sz w:val="22"/>
                <w:szCs w:val="22"/>
              </w:rPr>
              <w:t>大精神”学习心得交流讨论会，老同志代表上台作中心发言，还开展了征集“老</w:t>
            </w:r>
            <w:r>
              <w:rPr>
                <w:rFonts w:hint="eastAsia" w:ascii="宋体" w:hAnsi="宋体" w:eastAsia="宋体" w:cs="宋体"/>
                <w:sz w:val="22"/>
                <w:szCs w:val="22"/>
                <w:lang w:eastAsia="zh-CN"/>
              </w:rPr>
              <w:t>故事</w:t>
            </w:r>
            <w:r>
              <w:rPr>
                <w:rFonts w:hint="eastAsia" w:ascii="宋体" w:hAnsi="宋体" w:eastAsia="宋体" w:cs="宋体"/>
                <w:color w:val="222222"/>
                <w:sz w:val="22"/>
                <w:szCs w:val="22"/>
              </w:rPr>
              <w:t>、老照片</w:t>
            </w:r>
            <w:r>
              <w:rPr>
                <w:rFonts w:hint="eastAsia" w:ascii="宋体" w:hAnsi="宋体" w:eastAsia="宋体" w:cs="宋体"/>
                <w:color w:val="222222"/>
                <w:sz w:val="22"/>
                <w:szCs w:val="22"/>
                <w:lang w:eastAsia="zh-CN"/>
              </w:rPr>
              <w:t>、向抗美援朝战士高家善学习</w:t>
            </w:r>
            <w:r>
              <w:rPr>
                <w:rFonts w:hint="eastAsia" w:ascii="宋体" w:hAnsi="宋体" w:eastAsia="宋体" w:cs="宋体"/>
                <w:color w:val="222222"/>
                <w:sz w:val="22"/>
                <w:szCs w:val="22"/>
              </w:rPr>
              <w:t>”等活动。三是落实老干部政治待遇。为老干部</w:t>
            </w:r>
            <w:r>
              <w:rPr>
                <w:rFonts w:hint="eastAsia" w:ascii="宋体" w:hAnsi="宋体" w:eastAsia="宋体" w:cs="宋体"/>
                <w:color w:val="222222"/>
                <w:sz w:val="22"/>
                <w:szCs w:val="22"/>
                <w:lang w:eastAsia="zh-CN"/>
              </w:rPr>
              <w:t>发放《老年人》、《参考消息》、《湘江评论》、</w:t>
            </w:r>
            <w:r>
              <w:rPr>
                <w:rFonts w:hint="eastAsia" w:ascii="宋体" w:hAnsi="宋体" w:eastAsia="宋体" w:cs="宋体"/>
                <w:color w:val="222222"/>
                <w:sz w:val="22"/>
                <w:szCs w:val="22"/>
              </w:rPr>
              <w:t>《</w:t>
            </w:r>
            <w:r>
              <w:rPr>
                <w:rFonts w:hint="eastAsia" w:ascii="宋体" w:hAnsi="宋体" w:eastAsia="宋体" w:cs="宋体"/>
                <w:color w:val="222222"/>
                <w:sz w:val="22"/>
                <w:szCs w:val="22"/>
                <w:lang w:eastAsia="zh-CN"/>
              </w:rPr>
              <w:t>习近平谈治国理政</w:t>
            </w:r>
            <w:r>
              <w:rPr>
                <w:rFonts w:hint="eastAsia" w:ascii="宋体" w:hAnsi="宋体" w:eastAsia="宋体" w:cs="宋体"/>
                <w:color w:val="222222"/>
                <w:sz w:val="22"/>
                <w:szCs w:val="22"/>
              </w:rPr>
              <w:t>》</w:t>
            </w:r>
            <w:r>
              <w:rPr>
                <w:rFonts w:hint="eastAsia" w:ascii="宋体" w:hAnsi="宋体" w:eastAsia="宋体" w:cs="宋体"/>
                <w:color w:val="222222"/>
                <w:sz w:val="22"/>
                <w:szCs w:val="22"/>
                <w:lang w:eastAsia="zh-CN"/>
              </w:rPr>
              <w:t>第三卷等书籍</w:t>
            </w:r>
            <w:r>
              <w:rPr>
                <w:rFonts w:hint="eastAsia" w:ascii="宋体" w:hAnsi="宋体" w:eastAsia="宋体" w:cs="宋体"/>
                <w:color w:val="222222"/>
                <w:sz w:val="22"/>
                <w:szCs w:val="22"/>
                <w:lang w:val="en-US" w:eastAsia="zh-CN"/>
              </w:rPr>
              <w:t>3千多本，</w:t>
            </w:r>
            <w:r>
              <w:rPr>
                <w:rFonts w:hint="eastAsia" w:ascii="宋体" w:hAnsi="宋体" w:eastAsia="宋体" w:cs="宋体"/>
                <w:color w:val="222222"/>
                <w:sz w:val="22"/>
                <w:szCs w:val="22"/>
              </w:rPr>
              <w:t>订报订刊</w:t>
            </w:r>
            <w:r>
              <w:rPr>
                <w:rFonts w:hint="eastAsia" w:ascii="宋体" w:hAnsi="宋体" w:eastAsia="宋体" w:cs="宋体"/>
                <w:color w:val="222222"/>
                <w:sz w:val="22"/>
                <w:szCs w:val="22"/>
                <w:lang w:eastAsia="zh-CN"/>
              </w:rPr>
              <w:t>。</w:t>
            </w:r>
          </w:p>
          <w:p>
            <w:pPr>
              <w:pStyle w:val="4"/>
              <w:shd w:val="clear" w:color="auto" w:fill="FFFFFF"/>
              <w:spacing w:before="0" w:beforeAutospacing="0" w:after="0" w:afterAutospacing="0" w:line="450" w:lineRule="atLeast"/>
              <w:ind w:right="300" w:firstLine="560"/>
              <w:jc w:val="both"/>
              <w:rPr>
                <w:rFonts w:hint="eastAsia" w:ascii="宋体" w:hAnsi="宋体" w:eastAsia="宋体" w:cs="宋体"/>
                <w:color w:val="222222"/>
                <w:sz w:val="22"/>
                <w:szCs w:val="22"/>
              </w:rPr>
            </w:pPr>
            <w:r>
              <w:rPr>
                <w:rFonts w:hint="eastAsia" w:ascii="宋体" w:hAnsi="宋体" w:eastAsia="宋体" w:cs="宋体"/>
                <w:color w:val="222222"/>
                <w:sz w:val="22"/>
                <w:szCs w:val="22"/>
              </w:rPr>
              <w:t>二、落实老干部保障机制，让老干部“老有所依”，管理服务的调常保持。</w:t>
            </w:r>
          </w:p>
          <w:p>
            <w:pPr>
              <w:pStyle w:val="4"/>
              <w:shd w:val="clear" w:color="auto" w:fill="FFFFFF"/>
              <w:spacing w:before="0" w:beforeAutospacing="0" w:after="0" w:afterAutospacing="0" w:line="450" w:lineRule="atLeast"/>
              <w:ind w:right="300"/>
              <w:jc w:val="both"/>
              <w:rPr>
                <w:rFonts w:hint="eastAsia" w:ascii="宋体" w:hAnsi="宋体" w:eastAsia="宋体" w:cs="宋体"/>
                <w:color w:val="222222"/>
                <w:sz w:val="22"/>
                <w:szCs w:val="22"/>
              </w:rPr>
            </w:pPr>
            <w:r>
              <w:rPr>
                <w:rFonts w:hint="eastAsia" w:ascii="宋体" w:hAnsi="宋体" w:eastAsia="宋体" w:cs="宋体"/>
                <w:color w:val="222222"/>
                <w:sz w:val="22"/>
                <w:szCs w:val="22"/>
              </w:rPr>
              <w:t>　　老干部是我</w:t>
            </w:r>
            <w:r>
              <w:rPr>
                <w:rFonts w:hint="eastAsia" w:ascii="宋体" w:hAnsi="宋体" w:eastAsia="宋体" w:cs="宋体"/>
                <w:color w:val="222222"/>
                <w:sz w:val="22"/>
                <w:szCs w:val="22"/>
                <w:lang w:eastAsia="zh-CN"/>
              </w:rPr>
              <w:t>局</w:t>
            </w:r>
            <w:r>
              <w:rPr>
                <w:rFonts w:hint="eastAsia" w:ascii="宋体" w:hAnsi="宋体" w:eastAsia="宋体" w:cs="宋体"/>
                <w:color w:val="222222"/>
                <w:sz w:val="22"/>
                <w:szCs w:val="22"/>
              </w:rPr>
              <w:t>的宝贵财富，落实老干部生活待遇、切实保障他们的晚年生活，既是党的重要方针政策，又是衡量我们工作的标准，来不得半点马虎。我们一是落实离休经费的保障</w:t>
            </w:r>
            <w:r>
              <w:rPr>
                <w:rFonts w:hint="eastAsia" w:ascii="宋体" w:hAnsi="宋体" w:eastAsia="宋体" w:cs="宋体"/>
                <w:color w:val="222222"/>
                <w:sz w:val="22"/>
                <w:szCs w:val="22"/>
                <w:lang w:eastAsia="zh-CN"/>
              </w:rPr>
              <w:t>，</w:t>
            </w:r>
            <w:r>
              <w:rPr>
                <w:rFonts w:hint="eastAsia" w:ascii="宋体" w:hAnsi="宋体" w:eastAsia="宋体" w:cs="宋体"/>
                <w:color w:val="222222"/>
                <w:sz w:val="22"/>
                <w:szCs w:val="22"/>
              </w:rPr>
              <w:t>二是落实了医疗保障，离休干部进入</w:t>
            </w:r>
            <w:r>
              <w:rPr>
                <w:rFonts w:hint="eastAsia" w:ascii="宋体" w:hAnsi="宋体" w:eastAsia="宋体" w:cs="宋体"/>
                <w:sz w:val="22"/>
                <w:szCs w:val="22"/>
                <w:lang w:eastAsia="zh-CN"/>
              </w:rPr>
              <w:t>医保</w:t>
            </w:r>
            <w:r>
              <w:rPr>
                <w:rFonts w:hint="eastAsia" w:ascii="宋体" w:hAnsi="宋体" w:eastAsia="宋体" w:cs="宋体"/>
                <w:color w:val="222222"/>
                <w:sz w:val="22"/>
                <w:szCs w:val="22"/>
              </w:rPr>
              <w:t>后，看病治疗方便很多，但仍有异地看病、</w:t>
            </w:r>
            <w:r>
              <w:rPr>
                <w:rFonts w:hint="eastAsia" w:ascii="宋体" w:hAnsi="宋体" w:eastAsia="宋体" w:cs="宋体"/>
                <w:sz w:val="22"/>
                <w:szCs w:val="22"/>
                <w:lang w:eastAsia="zh-CN"/>
              </w:rPr>
              <w:t>急诊</w:t>
            </w:r>
            <w:r>
              <w:rPr>
                <w:rFonts w:hint="eastAsia" w:ascii="宋体" w:hAnsi="宋体" w:eastAsia="宋体" w:cs="宋体"/>
                <w:color w:val="222222"/>
                <w:sz w:val="22"/>
                <w:szCs w:val="22"/>
              </w:rPr>
              <w:t>费用报销等工作需要协调，我们积极与医保部门、与医院协调联系，沟通情况，为多位离休老同志办理了异地治疗、门诊报销等手续。三是落实了定期健康</w:t>
            </w:r>
            <w:r>
              <w:rPr>
                <w:rFonts w:hint="eastAsia" w:ascii="宋体" w:hAnsi="宋体" w:eastAsia="宋体" w:cs="宋体"/>
                <w:sz w:val="22"/>
                <w:szCs w:val="22"/>
                <w:lang w:eastAsia="zh-CN"/>
              </w:rPr>
              <w:t>体检</w:t>
            </w:r>
            <w:r>
              <w:rPr>
                <w:rFonts w:hint="eastAsia" w:ascii="宋体" w:hAnsi="宋体" w:eastAsia="宋体" w:cs="宋体"/>
                <w:color w:val="222222"/>
                <w:sz w:val="22"/>
                <w:szCs w:val="22"/>
              </w:rPr>
              <w:t>，完成了全局系统退休人员体检组织协调工作以及局机关离退休人员的体检工作，体检结果出来后，我们请医生向老同志通报体检情况，并对老同志的身体状况给出治疗和</w:t>
            </w:r>
            <w:r>
              <w:rPr>
                <w:rFonts w:hint="eastAsia" w:ascii="宋体" w:hAnsi="宋体" w:eastAsia="宋体" w:cs="宋体"/>
                <w:sz w:val="22"/>
                <w:szCs w:val="22"/>
                <w:lang w:eastAsia="zh-CN"/>
              </w:rPr>
              <w:t>保健</w:t>
            </w:r>
            <w:r>
              <w:rPr>
                <w:rFonts w:hint="eastAsia" w:ascii="宋体" w:hAnsi="宋体" w:eastAsia="宋体" w:cs="宋体"/>
                <w:color w:val="222222"/>
                <w:sz w:val="22"/>
                <w:szCs w:val="22"/>
              </w:rPr>
              <w:t>的建议和方案。四是落实了家访慰问，我们坚持“三必访”，即：重大</w:t>
            </w:r>
            <w:r>
              <w:rPr>
                <w:rFonts w:hint="eastAsia" w:ascii="宋体" w:hAnsi="宋体" w:eastAsia="宋体" w:cs="宋体"/>
                <w:color w:val="0C0C0C"/>
                <w:sz w:val="22"/>
                <w:szCs w:val="22"/>
                <w:lang w:eastAsia="zh-CN"/>
              </w:rPr>
              <w:t>节日</w:t>
            </w:r>
            <w:r>
              <w:rPr>
                <w:rFonts w:hint="eastAsia" w:ascii="宋体" w:hAnsi="宋体" w:eastAsia="宋体" w:cs="宋体"/>
                <w:color w:val="0C0C0C"/>
                <w:sz w:val="22"/>
                <w:szCs w:val="22"/>
              </w:rPr>
              <w:t>必访、生病必访、有困难必访，组织了以局领导</w:t>
            </w:r>
            <w:r>
              <w:rPr>
                <w:rFonts w:hint="eastAsia" w:ascii="宋体" w:hAnsi="宋体" w:eastAsia="宋体" w:cs="宋体"/>
                <w:color w:val="222222"/>
                <w:sz w:val="22"/>
                <w:szCs w:val="22"/>
              </w:rPr>
              <w:t>为首带队参与的“</w:t>
            </w:r>
            <w:r>
              <w:rPr>
                <w:rFonts w:hint="eastAsia" w:ascii="宋体" w:hAnsi="宋体" w:eastAsia="宋体" w:cs="宋体"/>
                <w:sz w:val="22"/>
                <w:szCs w:val="22"/>
                <w:lang w:eastAsia="zh-CN"/>
              </w:rPr>
              <w:t>元旦新</w:t>
            </w:r>
            <w:r>
              <w:rPr>
                <w:rFonts w:hint="eastAsia" w:ascii="宋体" w:hAnsi="宋体" w:eastAsia="宋体" w:cs="宋体"/>
                <w:color w:val="222222"/>
                <w:sz w:val="22"/>
                <w:szCs w:val="22"/>
              </w:rPr>
              <w:t>春</w:t>
            </w:r>
            <w:r>
              <w:rPr>
                <w:rFonts w:hint="eastAsia" w:ascii="宋体" w:hAnsi="宋体" w:eastAsia="宋体" w:cs="宋体"/>
                <w:color w:val="222222"/>
                <w:sz w:val="22"/>
                <w:szCs w:val="22"/>
                <w:lang w:eastAsia="zh-CN"/>
              </w:rPr>
              <w:t>座谈</w:t>
            </w:r>
            <w:r>
              <w:rPr>
                <w:rFonts w:hint="eastAsia" w:ascii="宋体" w:hAnsi="宋体" w:eastAsia="宋体" w:cs="宋体"/>
                <w:color w:val="222222"/>
                <w:sz w:val="22"/>
                <w:szCs w:val="22"/>
              </w:rPr>
              <w:t>会”、春节、“七一”、“八一”慰问老干部活动;在老干部生病、家庭困难等重要事项发生时，我们都会向领导汇报并上门看望慰问</w:t>
            </w:r>
            <w:r>
              <w:rPr>
                <w:rFonts w:hint="eastAsia" w:ascii="宋体" w:hAnsi="宋体" w:eastAsia="宋体" w:cs="宋体"/>
                <w:color w:val="222222"/>
                <w:sz w:val="22"/>
                <w:szCs w:val="22"/>
                <w:lang w:eastAsia="zh-CN"/>
              </w:rPr>
              <w:t>，今年走访慰问了生病住院老干、困难党员、困难遗孀、去世老干家属等达</w:t>
            </w:r>
            <w:r>
              <w:rPr>
                <w:rFonts w:hint="eastAsia" w:cs="宋体"/>
                <w:color w:val="222222"/>
                <w:sz w:val="22"/>
                <w:szCs w:val="22"/>
                <w:lang w:val="en-US" w:eastAsia="zh-CN"/>
              </w:rPr>
              <w:t>5</w:t>
            </w:r>
            <w:r>
              <w:rPr>
                <w:rFonts w:hint="eastAsia" w:ascii="宋体" w:hAnsi="宋体" w:eastAsia="宋体" w:cs="宋体"/>
                <w:color w:val="222222"/>
                <w:sz w:val="22"/>
                <w:szCs w:val="22"/>
                <w:lang w:val="en-US" w:eastAsia="zh-CN"/>
              </w:rPr>
              <w:t>0余次，发放慰问金</w:t>
            </w:r>
            <w:r>
              <w:rPr>
                <w:rFonts w:hint="eastAsia" w:cs="宋体"/>
                <w:color w:val="222222"/>
                <w:sz w:val="22"/>
                <w:szCs w:val="22"/>
                <w:lang w:val="en-US" w:eastAsia="zh-CN"/>
              </w:rPr>
              <w:t>6</w:t>
            </w:r>
            <w:r>
              <w:rPr>
                <w:rFonts w:hint="eastAsia" w:ascii="宋体" w:hAnsi="宋体" w:eastAsia="宋体" w:cs="宋体"/>
                <w:color w:val="222222"/>
                <w:sz w:val="22"/>
                <w:szCs w:val="22"/>
                <w:lang w:val="en-US" w:eastAsia="zh-CN"/>
              </w:rPr>
              <w:t>万，发放慰问品300余件，在纪念抗美援朝胜利70周年之际，局党组书记、局长张立新带领我们走访慰问了我局离休干部抗美援朝战士高家善，对高家善的英雄事迹在新湖南媒体上做了宣传报道，取得了很好的效果。</w:t>
            </w:r>
            <w:r>
              <w:rPr>
                <w:rFonts w:hint="eastAsia" w:ascii="宋体" w:hAnsi="宋体" w:eastAsia="宋体" w:cs="宋体"/>
                <w:color w:val="222222"/>
                <w:sz w:val="22"/>
                <w:szCs w:val="22"/>
              </w:rPr>
              <w:t>五是密切了与离退休人员的联系。工作中，我们保持了与老干部的密切联系，做到了定期电话联系和上门走访相结合，通过交流，增强了感情，消除了老干部孤独情绪，同时也使我们对老干部家庭情况、思想状况、愿望要求做到了心里一本册、一本帐，</w:t>
            </w:r>
            <w:r>
              <w:rPr>
                <w:rFonts w:hint="eastAsia" w:ascii="宋体" w:hAnsi="宋体" w:eastAsia="宋体" w:cs="宋体"/>
                <w:color w:val="222222"/>
                <w:sz w:val="22"/>
                <w:szCs w:val="22"/>
                <w:lang w:eastAsia="zh-CN"/>
              </w:rPr>
              <w:t>尤其是离休老干的“一人一册”工作制度的落实，使得</w:t>
            </w:r>
            <w:r>
              <w:rPr>
                <w:rFonts w:hint="eastAsia" w:ascii="宋体" w:hAnsi="宋体" w:eastAsia="宋体" w:cs="宋体"/>
                <w:color w:val="222222"/>
                <w:sz w:val="22"/>
                <w:szCs w:val="22"/>
              </w:rPr>
              <w:t>工作起来更加得心应手。</w:t>
            </w:r>
          </w:p>
          <w:p>
            <w:pPr>
              <w:pStyle w:val="4"/>
              <w:shd w:val="clear" w:color="auto" w:fill="FFFFFF"/>
              <w:spacing w:before="0" w:beforeAutospacing="0" w:after="0" w:afterAutospacing="0" w:line="450" w:lineRule="atLeast"/>
              <w:ind w:right="300"/>
              <w:jc w:val="both"/>
              <w:rPr>
                <w:rFonts w:hint="eastAsia" w:ascii="宋体" w:hAnsi="宋体" w:eastAsia="宋体" w:cs="宋体"/>
                <w:color w:val="222222"/>
                <w:sz w:val="22"/>
                <w:szCs w:val="22"/>
              </w:rPr>
            </w:pPr>
            <w:r>
              <w:rPr>
                <w:rFonts w:hint="eastAsia" w:ascii="宋体" w:hAnsi="宋体" w:eastAsia="宋体" w:cs="宋体"/>
                <w:color w:val="222222"/>
                <w:sz w:val="22"/>
                <w:szCs w:val="22"/>
              </w:rPr>
              <w:t>　　三、打造老干部活动平台，让老干部“老有所乐”，开展活动的频有规律。</w:t>
            </w:r>
          </w:p>
          <w:p>
            <w:pPr>
              <w:pStyle w:val="4"/>
              <w:shd w:val="clear" w:color="auto" w:fill="FFFFFF"/>
              <w:spacing w:before="0" w:beforeAutospacing="0" w:after="0" w:afterAutospacing="0" w:line="450" w:lineRule="atLeast"/>
              <w:ind w:right="300" w:firstLine="560"/>
              <w:jc w:val="both"/>
              <w:rPr>
                <w:rFonts w:hint="eastAsia" w:ascii="宋体" w:hAnsi="宋体" w:eastAsia="宋体" w:cs="宋体"/>
                <w:color w:val="222222"/>
                <w:sz w:val="22"/>
                <w:szCs w:val="22"/>
              </w:rPr>
            </w:pPr>
            <w:r>
              <w:rPr>
                <w:rFonts w:hint="eastAsia" w:ascii="宋体" w:hAnsi="宋体" w:eastAsia="宋体" w:cs="宋体"/>
                <w:color w:val="222222"/>
                <w:sz w:val="22"/>
                <w:szCs w:val="22"/>
              </w:rPr>
              <w:t>我们坚持“软件建设”和“硬件建设”两手抓。一是把老干部活动室交给老干部管理，保持老干部活动场所的整洁干净舒适，为老干部活动提供了舒适的环境。二是开展了各项活动。</w:t>
            </w:r>
            <w:r>
              <w:rPr>
                <w:rFonts w:hint="eastAsia" w:ascii="宋体" w:hAnsi="宋体" w:eastAsia="宋体" w:cs="宋体"/>
                <w:color w:val="222222"/>
                <w:sz w:val="22"/>
                <w:szCs w:val="22"/>
                <w:lang w:eastAsia="zh-CN"/>
              </w:rPr>
              <w:t>按照州老干发【</w:t>
            </w:r>
            <w:r>
              <w:rPr>
                <w:rFonts w:hint="eastAsia" w:ascii="宋体" w:hAnsi="宋体" w:eastAsia="宋体" w:cs="宋体"/>
                <w:color w:val="222222"/>
                <w:sz w:val="22"/>
                <w:szCs w:val="22"/>
                <w:lang w:val="en-US" w:eastAsia="zh-CN"/>
              </w:rPr>
              <w:t>202</w:t>
            </w:r>
            <w:r>
              <w:rPr>
                <w:rFonts w:hint="eastAsia" w:cs="宋体"/>
                <w:color w:val="222222"/>
                <w:sz w:val="22"/>
                <w:szCs w:val="22"/>
                <w:lang w:val="en-US" w:eastAsia="zh-CN"/>
              </w:rPr>
              <w:t>1</w:t>
            </w:r>
            <w:r>
              <w:rPr>
                <w:rFonts w:hint="eastAsia" w:ascii="宋体" w:hAnsi="宋体" w:eastAsia="宋体" w:cs="宋体"/>
                <w:color w:val="222222"/>
                <w:sz w:val="22"/>
                <w:szCs w:val="22"/>
                <w:lang w:eastAsia="zh-CN"/>
              </w:rPr>
              <w:t>】</w:t>
            </w:r>
            <w:r>
              <w:rPr>
                <w:rFonts w:hint="eastAsia" w:ascii="宋体" w:hAnsi="宋体" w:eastAsia="宋体" w:cs="宋体"/>
                <w:color w:val="222222"/>
                <w:sz w:val="22"/>
                <w:szCs w:val="22"/>
                <w:lang w:val="en-US" w:eastAsia="zh-CN"/>
              </w:rPr>
              <w:t>1号</w:t>
            </w:r>
            <w:r>
              <w:rPr>
                <w:rFonts w:hint="eastAsia" w:ascii="宋体" w:hAnsi="宋体" w:eastAsia="宋体" w:cs="宋体"/>
                <w:color w:val="222222"/>
                <w:sz w:val="22"/>
                <w:szCs w:val="22"/>
              </w:rPr>
              <w:t>文件</w:t>
            </w:r>
            <w:r>
              <w:rPr>
                <w:rFonts w:hint="eastAsia" w:ascii="宋体" w:hAnsi="宋体" w:eastAsia="宋体" w:cs="宋体"/>
                <w:color w:val="222222"/>
                <w:sz w:val="22"/>
                <w:szCs w:val="22"/>
                <w:lang w:eastAsia="zh-CN"/>
              </w:rPr>
              <w:t>精神</w:t>
            </w:r>
            <w:r>
              <w:rPr>
                <w:rFonts w:hint="eastAsia" w:ascii="宋体" w:hAnsi="宋体" w:eastAsia="宋体" w:cs="宋体"/>
                <w:color w:val="222222"/>
                <w:sz w:val="22"/>
                <w:szCs w:val="22"/>
              </w:rPr>
              <w:t>，认真策划，有步骤地组织</w:t>
            </w:r>
            <w:r>
              <w:rPr>
                <w:rFonts w:hint="eastAsia" w:ascii="宋体" w:hAnsi="宋体" w:eastAsia="宋体" w:cs="宋体"/>
                <w:color w:val="222222"/>
                <w:sz w:val="22"/>
                <w:szCs w:val="22"/>
                <w:lang w:eastAsia="zh-CN"/>
              </w:rPr>
              <w:t>开展</w:t>
            </w:r>
            <w:r>
              <w:rPr>
                <w:rFonts w:hint="eastAsia" w:ascii="宋体" w:hAnsi="宋体" w:eastAsia="宋体" w:cs="宋体"/>
                <w:color w:val="222222"/>
                <w:sz w:val="22"/>
                <w:szCs w:val="22"/>
              </w:rPr>
              <w:t>了</w:t>
            </w:r>
            <w:r>
              <w:rPr>
                <w:rFonts w:hint="eastAsia" w:ascii="宋体" w:hAnsi="宋体" w:eastAsia="宋体" w:cs="宋体"/>
                <w:color w:val="222222"/>
                <w:sz w:val="22"/>
                <w:szCs w:val="22"/>
                <w:lang w:eastAsia="zh-CN"/>
              </w:rPr>
              <w:t>新春座谈会</w:t>
            </w:r>
            <w:r>
              <w:rPr>
                <w:rFonts w:hint="eastAsia" w:ascii="宋体" w:hAnsi="宋体" w:eastAsia="宋体" w:cs="宋体"/>
                <w:color w:val="222222"/>
                <w:sz w:val="22"/>
                <w:szCs w:val="22"/>
              </w:rPr>
              <w:t>“</w:t>
            </w:r>
            <w:r>
              <w:rPr>
                <w:rFonts w:hint="eastAsia" w:ascii="宋体" w:hAnsi="宋体" w:eastAsia="宋体" w:cs="宋体"/>
                <w:color w:val="222222"/>
                <w:sz w:val="22"/>
                <w:szCs w:val="22"/>
                <w:lang w:eastAsia="zh-CN"/>
              </w:rPr>
              <w:t>展商务风采</w:t>
            </w:r>
            <w:r>
              <w:rPr>
                <w:rFonts w:hint="eastAsia" w:ascii="宋体" w:hAnsi="宋体" w:eastAsia="宋体" w:cs="宋体"/>
                <w:color w:val="222222"/>
                <w:sz w:val="22"/>
                <w:szCs w:val="22"/>
                <w:lang w:val="en-US" w:eastAsia="zh-CN"/>
              </w:rPr>
              <w:t>.</w:t>
            </w:r>
            <w:r>
              <w:rPr>
                <w:rFonts w:hint="eastAsia" w:ascii="宋体" w:hAnsi="宋体" w:eastAsia="宋体" w:cs="宋体"/>
                <w:color w:val="222222"/>
                <w:sz w:val="22"/>
                <w:szCs w:val="22"/>
                <w:lang w:eastAsia="zh-CN"/>
              </w:rPr>
              <w:t>品招商成果</w:t>
            </w:r>
            <w:r>
              <w:rPr>
                <w:rFonts w:hint="eastAsia" w:ascii="宋体" w:hAnsi="宋体" w:eastAsia="宋体" w:cs="宋体"/>
                <w:color w:val="222222"/>
                <w:sz w:val="22"/>
                <w:szCs w:val="22"/>
              </w:rPr>
              <w:t>”</w:t>
            </w:r>
            <w:r>
              <w:rPr>
                <w:rFonts w:hint="eastAsia" w:ascii="宋体" w:hAnsi="宋体" w:eastAsia="宋体" w:cs="宋体"/>
                <w:color w:val="222222"/>
                <w:sz w:val="22"/>
                <w:szCs w:val="22"/>
                <w:lang w:eastAsia="zh-CN"/>
              </w:rPr>
              <w:t>、“寿星乐</w:t>
            </w:r>
            <w:r>
              <w:rPr>
                <w:rFonts w:hint="eastAsia" w:ascii="宋体" w:hAnsi="宋体" w:eastAsia="宋体" w:cs="宋体"/>
                <w:color w:val="222222"/>
                <w:sz w:val="22"/>
                <w:szCs w:val="22"/>
                <w:lang w:val="en-US" w:eastAsia="zh-CN"/>
              </w:rPr>
              <w:t>.夕阳美</w:t>
            </w:r>
            <w:r>
              <w:rPr>
                <w:rFonts w:hint="eastAsia" w:ascii="宋体" w:hAnsi="宋体" w:eastAsia="宋体" w:cs="宋体"/>
                <w:color w:val="222222"/>
                <w:sz w:val="22"/>
                <w:szCs w:val="22"/>
                <w:lang w:eastAsia="zh-CN"/>
              </w:rPr>
              <w:t>”经典诵读会、“乐享银龄”等</w:t>
            </w:r>
            <w:r>
              <w:rPr>
                <w:rFonts w:hint="eastAsia" w:ascii="宋体" w:hAnsi="宋体" w:eastAsia="宋体" w:cs="宋体"/>
                <w:color w:val="222222"/>
                <w:sz w:val="22"/>
                <w:szCs w:val="22"/>
              </w:rPr>
              <w:t>5次大型活动，每次在活动环节、活动项目、应急手段上安排得当、措施清晰明确，全年老干部活动进行得井然有序</w:t>
            </w:r>
            <w:r>
              <w:rPr>
                <w:rFonts w:hint="eastAsia" w:cs="宋体"/>
                <w:color w:val="222222"/>
                <w:sz w:val="22"/>
                <w:szCs w:val="22"/>
                <w:lang w:eastAsia="zh-CN"/>
              </w:rPr>
              <w:t>，效果显著，并在新湖南、今日头条等主流媒体报道宣传。</w:t>
            </w:r>
            <w:r>
              <w:rPr>
                <w:rFonts w:hint="eastAsia" w:ascii="宋体" w:hAnsi="宋体" w:eastAsia="宋体" w:cs="宋体"/>
                <w:color w:val="222222"/>
                <w:sz w:val="22"/>
                <w:szCs w:val="22"/>
              </w:rPr>
              <w:t>三是给予老干部参与活动和其他社会活动经费的保障。老干部活动所需费用由机关予以了保障。</w:t>
            </w:r>
          </w:p>
          <w:p>
            <w:pPr>
              <w:pStyle w:val="4"/>
              <w:shd w:val="clear" w:color="auto" w:fill="FFFFFF"/>
              <w:spacing w:before="0" w:beforeAutospacing="0" w:after="0" w:afterAutospacing="0" w:line="450" w:lineRule="atLeast"/>
              <w:ind w:right="300" w:firstLine="560"/>
              <w:jc w:val="both"/>
              <w:rPr>
                <w:rFonts w:hint="eastAsia" w:ascii="宋体" w:hAnsi="宋体" w:eastAsia="宋体" w:cs="宋体"/>
                <w:color w:val="222222"/>
                <w:sz w:val="22"/>
                <w:szCs w:val="22"/>
              </w:rPr>
            </w:pPr>
            <w:r>
              <w:rPr>
                <w:rFonts w:hint="eastAsia" w:ascii="宋体" w:hAnsi="宋体" w:eastAsia="宋体" w:cs="宋体"/>
                <w:color w:val="222222"/>
                <w:sz w:val="22"/>
                <w:szCs w:val="22"/>
              </w:rPr>
              <w:t>四、发挥老干部优势特长，让老干部“老有所为”，贡献余热的曲时弹响。</w:t>
            </w:r>
          </w:p>
          <w:p>
            <w:pPr>
              <w:spacing w:line="520" w:lineRule="exact"/>
              <w:ind w:firstLine="660"/>
              <w:jc w:val="left"/>
              <w:rPr>
                <w:rFonts w:hint="eastAsia" w:ascii="宋体" w:hAnsi="宋体" w:eastAsia="宋体" w:cs="宋体"/>
                <w:color w:val="333333"/>
                <w:sz w:val="22"/>
                <w:szCs w:val="22"/>
                <w:shd w:val="clear" w:color="auto" w:fill="FFFFFF"/>
              </w:rPr>
            </w:pPr>
            <w:r>
              <w:rPr>
                <w:rFonts w:hint="eastAsia" w:ascii="宋体" w:hAnsi="宋体" w:eastAsia="宋体" w:cs="宋体"/>
                <w:color w:val="222222"/>
                <w:sz w:val="22"/>
                <w:szCs w:val="22"/>
              </w:rPr>
              <w:t>　　</w:t>
            </w:r>
            <w:r>
              <w:rPr>
                <w:rFonts w:hint="eastAsia" w:ascii="宋体" w:hAnsi="宋体" w:eastAsia="宋体" w:cs="宋体"/>
                <w:color w:val="333333"/>
                <w:sz w:val="22"/>
                <w:szCs w:val="22"/>
                <w:shd w:val="clear" w:color="auto" w:fill="FFFFFF"/>
              </w:rPr>
              <w:t>充分发挥老干部优势特长，让老干部“老有所为”贡献余热。如2017年就退休的朱为民副局长退休不退岗，长期坚持在商务企业改制、信访维稳等岗位上，为我局企业改制、信访维稳工作做出了突出贡献。已退休原老干科科长蔡湘长期坚持在企业改制财务工作岗位上，为我局企业改制的财务管理工作呕心沥血。每次老干活动中积极响应并配合工作人员通知联络其他老</w:t>
            </w:r>
            <w:r>
              <w:rPr>
                <w:rFonts w:hint="eastAsia" w:ascii="宋体" w:hAnsi="宋体" w:eastAsia="宋体" w:cs="宋体"/>
                <w:color w:val="333333"/>
                <w:sz w:val="22"/>
                <w:szCs w:val="22"/>
                <w:shd w:val="clear" w:color="auto" w:fill="FFFFFF"/>
                <w:lang w:eastAsia="zh-CN"/>
              </w:rPr>
              <w:t>干</w:t>
            </w:r>
            <w:r>
              <w:rPr>
                <w:rFonts w:hint="eastAsia" w:ascii="宋体" w:hAnsi="宋体" w:eastAsia="宋体" w:cs="宋体"/>
                <w:color w:val="333333"/>
                <w:sz w:val="22"/>
                <w:szCs w:val="22"/>
                <w:shd w:val="clear" w:color="auto" w:fill="FFFFFF"/>
              </w:rPr>
              <w:t>。</w:t>
            </w:r>
          </w:p>
          <w:p>
            <w:pPr>
              <w:pStyle w:val="4"/>
              <w:shd w:val="clear" w:color="auto" w:fill="FFFFFF"/>
              <w:spacing w:before="0" w:beforeAutospacing="0" w:after="0" w:afterAutospacing="0" w:line="450" w:lineRule="atLeast"/>
              <w:ind w:right="300"/>
              <w:jc w:val="both"/>
              <w:rPr>
                <w:rFonts w:hint="eastAsia" w:ascii="宋体" w:hAnsi="宋体" w:eastAsia="宋体" w:cs="宋体"/>
                <w:color w:val="222222"/>
                <w:sz w:val="22"/>
                <w:szCs w:val="22"/>
                <w:lang w:eastAsia="zh-CN"/>
              </w:rPr>
            </w:pPr>
            <w:r>
              <w:rPr>
                <w:rFonts w:hint="eastAsia" w:ascii="宋体" w:hAnsi="宋体" w:eastAsia="宋体" w:cs="宋体"/>
                <w:color w:val="222222"/>
                <w:sz w:val="22"/>
                <w:szCs w:val="22"/>
              </w:rPr>
              <w:t>　　五、党</w:t>
            </w:r>
            <w:r>
              <w:rPr>
                <w:rFonts w:hint="eastAsia" w:ascii="宋体" w:hAnsi="宋体" w:eastAsia="宋体" w:cs="宋体"/>
                <w:color w:val="222222"/>
                <w:sz w:val="22"/>
                <w:szCs w:val="22"/>
                <w:lang w:eastAsia="zh-CN"/>
              </w:rPr>
              <w:t>组</w:t>
            </w:r>
            <w:r>
              <w:rPr>
                <w:rFonts w:hint="eastAsia" w:ascii="宋体" w:hAnsi="宋体" w:eastAsia="宋体" w:cs="宋体"/>
                <w:color w:val="222222"/>
                <w:sz w:val="22"/>
                <w:szCs w:val="22"/>
              </w:rPr>
              <w:t>重视老干部工作，部门协同，群策群力，创新老干部工作的动力充沛</w:t>
            </w:r>
            <w:r>
              <w:rPr>
                <w:rFonts w:hint="eastAsia" w:cs="宋体"/>
                <w:color w:val="222222"/>
                <w:sz w:val="22"/>
                <w:szCs w:val="22"/>
                <w:lang w:eastAsia="zh-CN"/>
              </w:rPr>
              <w:t>。</w:t>
            </w:r>
          </w:p>
          <w:p>
            <w:pPr>
              <w:pStyle w:val="4"/>
              <w:shd w:val="clear" w:color="auto" w:fill="FFFFFF"/>
              <w:spacing w:before="0" w:beforeAutospacing="0" w:after="0" w:afterAutospacing="0" w:line="450" w:lineRule="atLeast"/>
              <w:ind w:right="300" w:firstLine="560"/>
              <w:jc w:val="both"/>
              <w:rPr>
                <w:rFonts w:hint="eastAsia" w:ascii="宋体" w:hAnsi="宋体" w:eastAsia="宋体" w:cs="宋体"/>
                <w:color w:val="222222"/>
                <w:sz w:val="22"/>
                <w:szCs w:val="22"/>
              </w:rPr>
            </w:pPr>
            <w:r>
              <w:rPr>
                <w:rFonts w:hint="eastAsia" w:ascii="宋体" w:hAnsi="宋体" w:eastAsia="宋体" w:cs="宋体"/>
                <w:color w:val="222222"/>
                <w:sz w:val="22"/>
                <w:szCs w:val="22"/>
              </w:rPr>
              <w:t>我局党</w:t>
            </w:r>
            <w:r>
              <w:rPr>
                <w:rFonts w:hint="eastAsia" w:cs="宋体"/>
                <w:color w:val="222222"/>
                <w:sz w:val="22"/>
                <w:szCs w:val="22"/>
                <w:lang w:eastAsia="zh-CN"/>
              </w:rPr>
              <w:t>组</w:t>
            </w:r>
            <w:r>
              <w:rPr>
                <w:rFonts w:hint="eastAsia" w:ascii="宋体" w:hAnsi="宋体" w:eastAsia="宋体" w:cs="宋体"/>
                <w:color w:val="222222"/>
                <w:sz w:val="22"/>
                <w:szCs w:val="22"/>
              </w:rPr>
              <w:t>对老干部工作抓得很紧、很到位。一是思想上到位。新的局党委书记，局长</w:t>
            </w:r>
            <w:r>
              <w:rPr>
                <w:rFonts w:hint="eastAsia" w:ascii="宋体" w:hAnsi="宋体" w:eastAsia="宋体" w:cs="宋体"/>
                <w:color w:val="222222"/>
                <w:sz w:val="22"/>
                <w:szCs w:val="22"/>
                <w:lang w:eastAsia="zh-CN"/>
              </w:rPr>
              <w:t>张立新一</w:t>
            </w:r>
            <w:r>
              <w:rPr>
                <w:rFonts w:hint="eastAsia" w:ascii="宋体" w:hAnsi="宋体" w:eastAsia="宋体" w:cs="宋体"/>
                <w:color w:val="222222"/>
                <w:sz w:val="22"/>
                <w:szCs w:val="22"/>
              </w:rPr>
              <w:t>到岗位，就安排日程</w:t>
            </w:r>
            <w:r>
              <w:rPr>
                <w:rFonts w:hint="eastAsia" w:ascii="宋体" w:hAnsi="宋体" w:eastAsia="宋体" w:cs="宋体"/>
                <w:sz w:val="22"/>
                <w:szCs w:val="22"/>
                <w:lang w:eastAsia="zh-CN"/>
              </w:rPr>
              <w:t>举行“展商务风彩</w:t>
            </w:r>
            <w:r>
              <w:rPr>
                <w:rFonts w:hint="eastAsia" w:ascii="宋体" w:hAnsi="宋体" w:eastAsia="宋体" w:cs="宋体"/>
                <w:sz w:val="22"/>
                <w:szCs w:val="22"/>
                <w:lang w:val="en-US" w:eastAsia="zh-CN"/>
              </w:rPr>
              <w:t>.品招商成果</w:t>
            </w:r>
            <w:r>
              <w:rPr>
                <w:rFonts w:hint="eastAsia" w:ascii="宋体" w:hAnsi="宋体" w:eastAsia="宋体" w:cs="宋体"/>
                <w:sz w:val="22"/>
                <w:szCs w:val="22"/>
                <w:lang w:eastAsia="zh-CN"/>
              </w:rPr>
              <w:t>”</w:t>
            </w:r>
            <w:r>
              <w:rPr>
                <w:rFonts w:hint="eastAsia" w:ascii="宋体" w:hAnsi="宋体" w:eastAsia="宋体" w:cs="宋体"/>
                <w:color w:val="222222"/>
                <w:sz w:val="22"/>
                <w:szCs w:val="22"/>
                <w:lang w:eastAsia="zh-CN"/>
              </w:rPr>
              <w:t>活动，与全体离退休老干欢聚一堂，</w:t>
            </w:r>
            <w:r>
              <w:rPr>
                <w:rFonts w:hint="eastAsia" w:ascii="宋体" w:hAnsi="宋体" w:eastAsia="宋体" w:cs="宋体"/>
                <w:color w:val="222222"/>
                <w:sz w:val="22"/>
                <w:szCs w:val="22"/>
              </w:rPr>
              <w:t>嘘寒问暖关心老同志，并听取老干</w:t>
            </w:r>
            <w:r>
              <w:rPr>
                <w:rFonts w:hint="eastAsia" w:ascii="宋体" w:hAnsi="宋体" w:eastAsia="宋体" w:cs="宋体"/>
                <w:color w:val="222222"/>
                <w:sz w:val="22"/>
                <w:szCs w:val="22"/>
                <w:lang w:eastAsia="zh-CN"/>
              </w:rPr>
              <w:t>科</w:t>
            </w:r>
            <w:r>
              <w:rPr>
                <w:rFonts w:hint="eastAsia" w:ascii="宋体" w:hAnsi="宋体" w:eastAsia="宋体" w:cs="宋体"/>
                <w:color w:val="222222"/>
                <w:sz w:val="22"/>
                <w:szCs w:val="22"/>
              </w:rPr>
              <w:t>的工作汇报，掌握老干部工作的动态。二是领导上到位。党</w:t>
            </w:r>
            <w:r>
              <w:rPr>
                <w:rFonts w:hint="eastAsia" w:ascii="宋体" w:hAnsi="宋体" w:eastAsia="宋体" w:cs="宋体"/>
                <w:color w:val="222222"/>
                <w:sz w:val="22"/>
                <w:szCs w:val="22"/>
                <w:lang w:eastAsia="zh-CN"/>
              </w:rPr>
              <w:t>组</w:t>
            </w:r>
            <w:r>
              <w:rPr>
                <w:rFonts w:hint="eastAsia" w:ascii="宋体" w:hAnsi="宋体" w:eastAsia="宋体" w:cs="宋体"/>
                <w:color w:val="222222"/>
                <w:sz w:val="22"/>
                <w:szCs w:val="22"/>
              </w:rPr>
              <w:t>把老干工作列为全局工作的目标</w:t>
            </w:r>
            <w:r>
              <w:rPr>
                <w:rFonts w:hint="eastAsia" w:ascii="宋体" w:hAnsi="宋体" w:eastAsia="宋体" w:cs="宋体"/>
                <w:sz w:val="22"/>
                <w:szCs w:val="22"/>
                <w:lang w:eastAsia="zh-CN"/>
              </w:rPr>
              <w:t>考核</w:t>
            </w:r>
            <w:r>
              <w:rPr>
                <w:rFonts w:hint="eastAsia" w:ascii="宋体" w:hAnsi="宋体" w:eastAsia="宋体" w:cs="宋体"/>
                <w:color w:val="222222"/>
                <w:sz w:val="22"/>
                <w:szCs w:val="22"/>
              </w:rPr>
              <w:t>，</w:t>
            </w:r>
            <w:r>
              <w:rPr>
                <w:rFonts w:hint="eastAsia" w:ascii="宋体" w:hAnsi="宋体" w:eastAsia="宋体" w:cs="宋体"/>
                <w:color w:val="222222"/>
                <w:sz w:val="22"/>
                <w:szCs w:val="22"/>
                <w:lang w:eastAsia="zh-CN"/>
              </w:rPr>
              <w:t>与老干中心</w:t>
            </w:r>
            <w:r>
              <w:rPr>
                <w:rFonts w:hint="eastAsia" w:cs="宋体"/>
                <w:color w:val="222222"/>
                <w:sz w:val="22"/>
                <w:szCs w:val="22"/>
                <w:lang w:eastAsia="zh-CN"/>
              </w:rPr>
              <w:t>合署</w:t>
            </w:r>
            <w:r>
              <w:rPr>
                <w:rFonts w:hint="eastAsia" w:ascii="宋体" w:hAnsi="宋体" w:eastAsia="宋体" w:cs="宋体"/>
                <w:color w:val="222222"/>
                <w:sz w:val="22"/>
                <w:szCs w:val="22"/>
                <w:lang w:eastAsia="zh-CN"/>
              </w:rPr>
              <w:t>办公，</w:t>
            </w:r>
            <w:r>
              <w:rPr>
                <w:rFonts w:hint="eastAsia" w:ascii="宋体" w:hAnsi="宋体" w:eastAsia="宋体" w:cs="宋体"/>
                <w:color w:val="222222"/>
                <w:sz w:val="22"/>
                <w:szCs w:val="22"/>
              </w:rPr>
              <w:t>增强了老干部工作力量。三是部门协作到位。在党</w:t>
            </w:r>
            <w:r>
              <w:rPr>
                <w:rFonts w:hint="eastAsia" w:ascii="宋体" w:hAnsi="宋体" w:eastAsia="宋体" w:cs="宋体"/>
                <w:color w:val="222222"/>
                <w:sz w:val="22"/>
                <w:szCs w:val="22"/>
                <w:lang w:eastAsia="zh-CN"/>
              </w:rPr>
              <w:t>组</w:t>
            </w:r>
            <w:r>
              <w:rPr>
                <w:rFonts w:hint="eastAsia" w:ascii="宋体" w:hAnsi="宋体" w:eastAsia="宋体" w:cs="宋体"/>
                <w:color w:val="222222"/>
                <w:sz w:val="22"/>
                <w:szCs w:val="22"/>
              </w:rPr>
              <w:t>以身作则的带动下，我局尊老敬老的风气十分浓厚，机关党委、办公室、人事处、财务处以及兄弟处室的同志总是把作老干部工作当成份内事来做，支部建设、车辆调度、老干诉求、待遇落实事事优先处处关怀。</w:t>
            </w:r>
            <w:r>
              <w:rPr>
                <w:rFonts w:hint="eastAsia" w:ascii="宋体" w:hAnsi="宋体" w:eastAsia="宋体" w:cs="宋体"/>
                <w:color w:val="222222"/>
                <w:sz w:val="22"/>
                <w:szCs w:val="22"/>
                <w:lang w:eastAsia="zh-CN"/>
              </w:rPr>
              <w:t>局党组</w:t>
            </w:r>
            <w:r>
              <w:rPr>
                <w:rFonts w:hint="eastAsia" w:ascii="宋体" w:hAnsi="宋体" w:eastAsia="宋体" w:cs="宋体"/>
                <w:color w:val="222222"/>
                <w:sz w:val="22"/>
                <w:szCs w:val="22"/>
              </w:rPr>
              <w:t>及</w:t>
            </w:r>
            <w:r>
              <w:rPr>
                <w:rFonts w:hint="eastAsia" w:ascii="宋体" w:hAnsi="宋体" w:eastAsia="宋体" w:cs="宋体"/>
                <w:color w:val="222222"/>
                <w:sz w:val="22"/>
                <w:szCs w:val="22"/>
                <w:lang w:eastAsia="zh-CN"/>
              </w:rPr>
              <w:t>各科室</w:t>
            </w:r>
            <w:r>
              <w:rPr>
                <w:rFonts w:hint="eastAsia" w:ascii="宋体" w:hAnsi="宋体" w:eastAsia="宋体" w:cs="宋体"/>
                <w:color w:val="222222"/>
                <w:sz w:val="22"/>
                <w:szCs w:val="22"/>
              </w:rPr>
              <w:t>对老干部工作也给予了大力支持，要钱给钱、要人给人，要物给物。上下齐心泰山移，老干工作得益于这股合力的推动，实现了让党放心，老干部满意的大好局面。</w:t>
            </w:r>
          </w:p>
          <w:p>
            <w:pPr>
              <w:pStyle w:val="4"/>
              <w:numPr>
                <w:ilvl w:val="0"/>
                <w:numId w:val="1"/>
              </w:numPr>
              <w:shd w:val="clear" w:color="auto" w:fill="FFFFFF"/>
              <w:spacing w:before="0" w:beforeAutospacing="0" w:after="0" w:afterAutospacing="0" w:line="450" w:lineRule="atLeast"/>
              <w:ind w:right="300" w:rightChars="0" w:firstLine="440" w:firstLineChars="200"/>
              <w:jc w:val="both"/>
              <w:rPr>
                <w:rFonts w:hint="eastAsia" w:cs="宋体"/>
                <w:color w:val="222222"/>
                <w:sz w:val="22"/>
                <w:szCs w:val="22"/>
                <w:lang w:eastAsia="zh-CN"/>
              </w:rPr>
            </w:pPr>
            <w:r>
              <w:rPr>
                <w:rFonts w:hint="eastAsia" w:cs="宋体"/>
                <w:color w:val="222222"/>
                <w:sz w:val="22"/>
                <w:szCs w:val="22"/>
                <w:lang w:eastAsia="zh-CN"/>
              </w:rPr>
              <w:t>创新探索老干工作新方法卓有成效，在已有的工作方法和基础上，积极创新探索微信、腾讯会议等新的老干工作方式方法，如利用微信组织老干们学习民法典专题报告会、十九大精神专题会议，“三湘</w:t>
            </w:r>
            <w:r>
              <w:rPr>
                <w:rFonts w:hint="eastAsia" w:cs="宋体"/>
                <w:color w:val="222222"/>
                <w:sz w:val="22"/>
                <w:szCs w:val="22"/>
                <w:lang w:val="en-US" w:eastAsia="zh-CN"/>
              </w:rPr>
              <w:t>e家</w:t>
            </w:r>
            <w:r>
              <w:rPr>
                <w:rFonts w:hint="eastAsia" w:cs="宋体"/>
                <w:color w:val="222222"/>
                <w:sz w:val="22"/>
                <w:szCs w:val="22"/>
                <w:lang w:eastAsia="zh-CN"/>
              </w:rPr>
              <w:t>”等，利用微信发布疫情防控通知、注意事项等，疫情期间不方便看望慰问住院老干，通过微信视频看望慰问住院老干，为减少老干不必要的来局办事，很多可以通过网络处理的事项，我们尽量利用网络处理，大大提高了工作效率，加强了与老干们联系的深度、广度和密切度，让老干们切实感受到我局老干工作者时刻在他们身边，创造了“有呼必应，有求必到，方便快捷”的老干工作局面。</w:t>
            </w:r>
          </w:p>
          <w:p>
            <w:pPr>
              <w:adjustRightInd w:val="0"/>
              <w:snapToGrid w:val="0"/>
              <w:spacing w:line="520" w:lineRule="exact"/>
              <w:ind w:firstLine="440" w:firstLineChars="200"/>
              <w:rPr>
                <w:rFonts w:hint="eastAsia" w:ascii="楷体_GB2312" w:hAnsi="楷体_GB2312" w:eastAsia="楷体_GB2312" w:cs="楷体_GB2312"/>
                <w:color w:val="FF0000"/>
                <w:sz w:val="22"/>
                <w:szCs w:val="22"/>
              </w:rPr>
            </w:pPr>
          </w:p>
          <w:p>
            <w:pPr>
              <w:autoSpaceDN w:val="0"/>
              <w:spacing w:line="320" w:lineRule="exact"/>
              <w:jc w:val="left"/>
              <w:textAlignment w:val="center"/>
              <w:rPr>
                <w:rFonts w:hint="eastAsia" w:eastAsia="仿宋_GB2312" w:cs="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2"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2" w:hRule="atLeast"/>
          <w:jc w:val="center"/>
        </w:trPr>
        <w:tc>
          <w:tcPr>
            <w:tcW w:w="1698" w:type="dxa"/>
            <w:gridSpan w:val="3"/>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收入合计</w:t>
            </w:r>
          </w:p>
        </w:tc>
        <w:tc>
          <w:tcPr>
            <w:tcW w:w="7022" w:type="dxa"/>
            <w:gridSpan w:val="13"/>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4" w:hRule="atLeast"/>
          <w:jc w:val="center"/>
        </w:trPr>
        <w:tc>
          <w:tcPr>
            <w:tcW w:w="1698" w:type="dxa"/>
            <w:gridSpan w:val="3"/>
            <w:vMerge w:val="continue"/>
            <w:noWrap w:val="0"/>
            <w:vAlign w:val="center"/>
          </w:tcPr>
          <w:p>
            <w:pPr>
              <w:autoSpaceDN w:val="0"/>
              <w:spacing w:line="320" w:lineRule="exact"/>
              <w:jc w:val="center"/>
              <w:textAlignment w:val="center"/>
              <w:rPr>
                <w:rFonts w:hint="eastAsia"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上年结转</w:t>
            </w: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公共财</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政拨款</w:t>
            </w:r>
          </w:p>
        </w:tc>
        <w:tc>
          <w:tcPr>
            <w:tcW w:w="1705"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政府基金拨款</w:t>
            </w:r>
          </w:p>
        </w:tc>
        <w:tc>
          <w:tcPr>
            <w:tcW w:w="1800" w:type="dxa"/>
            <w:gridSpan w:val="4"/>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其他</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698" w:type="dxa"/>
            <w:gridSpan w:val="3"/>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1082" w:type="dxa"/>
            <w:gridSpan w:val="2"/>
            <w:noWrap w:val="0"/>
            <w:vAlign w:val="center"/>
          </w:tcPr>
          <w:p>
            <w:pPr>
              <w:autoSpaceDN w:val="0"/>
              <w:spacing w:line="320" w:lineRule="exact"/>
              <w:jc w:val="left"/>
              <w:textAlignment w:val="center"/>
              <w:rPr>
                <w:rFonts w:hint="eastAsia" w:eastAsia="仿宋_GB2312" w:cs="仿宋_GB2312"/>
                <w:sz w:val="24"/>
              </w:rPr>
            </w:pPr>
          </w:p>
        </w:tc>
        <w:tc>
          <w:tcPr>
            <w:tcW w:w="1705" w:type="dxa"/>
            <w:gridSpan w:val="2"/>
            <w:noWrap w:val="0"/>
            <w:vAlign w:val="center"/>
          </w:tcPr>
          <w:p>
            <w:pPr>
              <w:autoSpaceDN w:val="0"/>
              <w:spacing w:line="320" w:lineRule="exact"/>
              <w:jc w:val="left"/>
              <w:textAlignment w:val="center"/>
              <w:rPr>
                <w:rFonts w:hint="eastAsia" w:eastAsia="仿宋_GB2312" w:cs="仿宋_GB2312"/>
                <w:sz w:val="24"/>
              </w:rPr>
            </w:pPr>
          </w:p>
        </w:tc>
        <w:tc>
          <w:tcPr>
            <w:tcW w:w="1800" w:type="dxa"/>
            <w:gridSpan w:val="4"/>
            <w:noWrap w:val="0"/>
            <w:vAlign w:val="center"/>
          </w:tcPr>
          <w:p>
            <w:pPr>
              <w:autoSpaceDN w:val="0"/>
              <w:spacing w:line="320" w:lineRule="exact"/>
              <w:jc w:val="center"/>
              <w:textAlignment w:val="center"/>
              <w:rPr>
                <w:rFonts w:hint="eastAsia" w:eastAsia="仿宋_GB2312" w:cs="仿宋_GB2312"/>
                <w:sz w:val="24"/>
              </w:rPr>
            </w:pPr>
          </w:p>
        </w:tc>
        <w:tc>
          <w:tcPr>
            <w:tcW w:w="1080" w:type="dxa"/>
            <w:gridSpan w:val="3"/>
            <w:noWrap w:val="0"/>
            <w:vAlign w:val="center"/>
          </w:tcPr>
          <w:p>
            <w:pPr>
              <w:autoSpaceDN w:val="0"/>
              <w:spacing w:line="320" w:lineRule="exact"/>
              <w:jc w:val="left"/>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3"/>
            <w:noWrap w:val="0"/>
            <w:vAlign w:val="center"/>
          </w:tcPr>
          <w:p>
            <w:pPr>
              <w:spacing w:line="320" w:lineRule="exact"/>
              <w:rPr>
                <w:rFonts w:hint="eastAsia" w:eastAsia="仿宋_GB2312" w:cs="仿宋_GB2312"/>
                <w:sz w:val="24"/>
              </w:rPr>
            </w:pPr>
            <w:r>
              <w:rPr>
                <w:rFonts w:hint="eastAsia"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1082" w:type="dxa"/>
            <w:gridSpan w:val="2"/>
            <w:noWrap w:val="0"/>
            <w:vAlign w:val="center"/>
          </w:tcPr>
          <w:p>
            <w:pPr>
              <w:autoSpaceDN w:val="0"/>
              <w:spacing w:line="320" w:lineRule="exact"/>
              <w:jc w:val="left"/>
              <w:textAlignment w:val="center"/>
              <w:rPr>
                <w:rFonts w:hint="eastAsia" w:eastAsia="仿宋_GB2312" w:cs="仿宋_GB2312"/>
                <w:sz w:val="24"/>
              </w:rPr>
            </w:pPr>
          </w:p>
        </w:tc>
        <w:tc>
          <w:tcPr>
            <w:tcW w:w="1705" w:type="dxa"/>
            <w:gridSpan w:val="2"/>
            <w:noWrap w:val="0"/>
            <w:vAlign w:val="center"/>
          </w:tcPr>
          <w:p>
            <w:pPr>
              <w:autoSpaceDN w:val="0"/>
              <w:spacing w:line="320" w:lineRule="exact"/>
              <w:jc w:val="left"/>
              <w:textAlignment w:val="center"/>
              <w:rPr>
                <w:rFonts w:hint="eastAsia" w:eastAsia="仿宋_GB2312" w:cs="仿宋_GB2312"/>
                <w:sz w:val="24"/>
              </w:rPr>
            </w:pPr>
          </w:p>
        </w:tc>
        <w:tc>
          <w:tcPr>
            <w:tcW w:w="1800" w:type="dxa"/>
            <w:gridSpan w:val="4"/>
            <w:noWrap w:val="0"/>
            <w:vAlign w:val="center"/>
          </w:tcPr>
          <w:p>
            <w:pPr>
              <w:autoSpaceDN w:val="0"/>
              <w:spacing w:line="320" w:lineRule="exact"/>
              <w:jc w:val="center"/>
              <w:textAlignment w:val="center"/>
              <w:rPr>
                <w:rFonts w:hint="eastAsia" w:eastAsia="仿宋_GB2312" w:cs="仿宋_GB2312"/>
                <w:sz w:val="24"/>
              </w:rPr>
            </w:pPr>
          </w:p>
        </w:tc>
        <w:tc>
          <w:tcPr>
            <w:tcW w:w="1080" w:type="dxa"/>
            <w:gridSpan w:val="3"/>
            <w:noWrap w:val="0"/>
            <w:vAlign w:val="center"/>
          </w:tcPr>
          <w:p>
            <w:pPr>
              <w:autoSpaceDN w:val="0"/>
              <w:spacing w:line="320" w:lineRule="exact"/>
              <w:jc w:val="left"/>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3"/>
            <w:noWrap w:val="0"/>
            <w:vAlign w:val="center"/>
          </w:tcPr>
          <w:p>
            <w:pPr>
              <w:spacing w:line="320" w:lineRule="exact"/>
              <w:rPr>
                <w:rFonts w:hint="eastAsia" w:eastAsia="仿宋_GB2312" w:cs="仿宋_GB2312"/>
                <w:sz w:val="24"/>
              </w:rPr>
            </w:pPr>
            <w:r>
              <w:rPr>
                <w:rFonts w:hint="eastAsia"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74.52</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0.31</w:t>
            </w:r>
          </w:p>
        </w:tc>
        <w:tc>
          <w:tcPr>
            <w:tcW w:w="1082" w:type="dxa"/>
            <w:gridSpan w:val="2"/>
            <w:noWrap w:val="0"/>
            <w:vAlign w:val="center"/>
          </w:tcPr>
          <w:p>
            <w:pPr>
              <w:autoSpaceDN w:val="0"/>
              <w:spacing w:line="320" w:lineRule="exact"/>
              <w:jc w:val="left"/>
              <w:textAlignment w:val="center"/>
              <w:rPr>
                <w:rFonts w:hint="default" w:eastAsia="仿宋_GB2312" w:cs="仿宋_GB2312"/>
                <w:sz w:val="24"/>
                <w:lang w:val="en-US" w:eastAsia="zh-CN"/>
              </w:rPr>
            </w:pPr>
            <w:r>
              <w:rPr>
                <w:rFonts w:hint="eastAsia" w:eastAsia="仿宋_GB2312" w:cs="仿宋_GB2312"/>
                <w:sz w:val="24"/>
                <w:lang w:val="en-US" w:eastAsia="zh-CN"/>
              </w:rPr>
              <w:t>74.21</w:t>
            </w:r>
          </w:p>
        </w:tc>
        <w:tc>
          <w:tcPr>
            <w:tcW w:w="1705" w:type="dxa"/>
            <w:gridSpan w:val="2"/>
            <w:noWrap w:val="0"/>
            <w:vAlign w:val="center"/>
          </w:tcPr>
          <w:p>
            <w:pPr>
              <w:autoSpaceDN w:val="0"/>
              <w:spacing w:line="320" w:lineRule="exact"/>
              <w:jc w:val="left"/>
              <w:textAlignment w:val="center"/>
              <w:rPr>
                <w:rFonts w:hint="eastAsia" w:eastAsia="仿宋_GB2312" w:cs="仿宋_GB2312"/>
                <w:sz w:val="24"/>
              </w:rPr>
            </w:pPr>
          </w:p>
        </w:tc>
        <w:tc>
          <w:tcPr>
            <w:tcW w:w="1800" w:type="dxa"/>
            <w:gridSpan w:val="4"/>
            <w:noWrap w:val="0"/>
            <w:vAlign w:val="center"/>
          </w:tcPr>
          <w:p>
            <w:pPr>
              <w:autoSpaceDN w:val="0"/>
              <w:spacing w:line="320" w:lineRule="exact"/>
              <w:jc w:val="center"/>
              <w:textAlignment w:val="center"/>
              <w:rPr>
                <w:rFonts w:hint="eastAsia" w:eastAsia="仿宋_GB2312" w:cs="仿宋_GB2312"/>
                <w:sz w:val="24"/>
              </w:rPr>
            </w:pPr>
          </w:p>
        </w:tc>
        <w:tc>
          <w:tcPr>
            <w:tcW w:w="1080" w:type="dxa"/>
            <w:gridSpan w:val="3"/>
            <w:noWrap w:val="0"/>
            <w:vAlign w:val="center"/>
          </w:tcPr>
          <w:p>
            <w:pPr>
              <w:autoSpaceDN w:val="0"/>
              <w:spacing w:line="320" w:lineRule="exact"/>
              <w:jc w:val="left"/>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98" w:type="dxa"/>
            <w:gridSpan w:val="3"/>
            <w:noWrap w:val="0"/>
            <w:vAlign w:val="center"/>
          </w:tcPr>
          <w:p>
            <w:pPr>
              <w:spacing w:line="320" w:lineRule="exact"/>
              <w:rPr>
                <w:rFonts w:hint="eastAsia" w:eastAsia="仿宋_GB2312" w:cs="仿宋_GB2312"/>
                <w:sz w:val="24"/>
              </w:rPr>
            </w:pPr>
            <w:r>
              <w:rPr>
                <w:rFonts w:hint="eastAsia"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1082" w:type="dxa"/>
            <w:gridSpan w:val="2"/>
            <w:noWrap w:val="0"/>
            <w:vAlign w:val="center"/>
          </w:tcPr>
          <w:p>
            <w:pPr>
              <w:autoSpaceDN w:val="0"/>
              <w:spacing w:line="320" w:lineRule="exact"/>
              <w:jc w:val="left"/>
              <w:textAlignment w:val="center"/>
              <w:rPr>
                <w:rFonts w:hint="eastAsia" w:eastAsia="仿宋_GB2312" w:cs="仿宋_GB2312"/>
                <w:sz w:val="24"/>
              </w:rPr>
            </w:pPr>
          </w:p>
        </w:tc>
        <w:tc>
          <w:tcPr>
            <w:tcW w:w="1705" w:type="dxa"/>
            <w:gridSpan w:val="2"/>
            <w:noWrap w:val="0"/>
            <w:vAlign w:val="center"/>
          </w:tcPr>
          <w:p>
            <w:pPr>
              <w:autoSpaceDN w:val="0"/>
              <w:spacing w:line="320" w:lineRule="exact"/>
              <w:jc w:val="left"/>
              <w:textAlignment w:val="center"/>
              <w:rPr>
                <w:rFonts w:hint="eastAsia" w:eastAsia="仿宋_GB2312" w:cs="仿宋_GB2312"/>
                <w:sz w:val="24"/>
              </w:rPr>
            </w:pPr>
          </w:p>
        </w:tc>
        <w:tc>
          <w:tcPr>
            <w:tcW w:w="1800" w:type="dxa"/>
            <w:gridSpan w:val="4"/>
            <w:noWrap w:val="0"/>
            <w:vAlign w:val="center"/>
          </w:tcPr>
          <w:p>
            <w:pPr>
              <w:autoSpaceDN w:val="0"/>
              <w:spacing w:line="320" w:lineRule="exact"/>
              <w:jc w:val="center"/>
              <w:textAlignment w:val="center"/>
              <w:rPr>
                <w:rFonts w:hint="eastAsia" w:eastAsia="仿宋_GB2312" w:cs="仿宋_GB2312"/>
                <w:sz w:val="24"/>
              </w:rPr>
            </w:pPr>
          </w:p>
        </w:tc>
        <w:tc>
          <w:tcPr>
            <w:tcW w:w="1080" w:type="dxa"/>
            <w:gridSpan w:val="3"/>
            <w:noWrap w:val="0"/>
            <w:vAlign w:val="center"/>
          </w:tcPr>
          <w:p>
            <w:pPr>
              <w:autoSpaceDN w:val="0"/>
              <w:spacing w:line="320" w:lineRule="exact"/>
              <w:jc w:val="left"/>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4"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9" w:hRule="atLeast"/>
          <w:jc w:val="center"/>
        </w:trPr>
        <w:tc>
          <w:tcPr>
            <w:tcW w:w="1698" w:type="dxa"/>
            <w:gridSpan w:val="3"/>
            <w:vMerge w:val="restart"/>
            <w:noWrap w:val="0"/>
            <w:vAlign w:val="center"/>
          </w:tcPr>
          <w:p>
            <w:pPr>
              <w:snapToGrid w:val="0"/>
              <w:spacing w:line="320" w:lineRule="exact"/>
              <w:jc w:val="center"/>
              <w:rPr>
                <w:rFonts w:hint="eastAsia"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支出合计</w:t>
            </w:r>
          </w:p>
        </w:tc>
        <w:tc>
          <w:tcPr>
            <w:tcW w:w="5677"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60" w:hRule="atLeast"/>
          <w:jc w:val="center"/>
        </w:trPr>
        <w:tc>
          <w:tcPr>
            <w:tcW w:w="1698" w:type="dxa"/>
            <w:gridSpan w:val="3"/>
            <w:vMerge w:val="continue"/>
            <w:noWrap w:val="0"/>
            <w:vAlign w:val="center"/>
          </w:tcPr>
          <w:p>
            <w:pPr>
              <w:spacing w:line="320" w:lineRule="exact"/>
              <w:jc w:val="center"/>
              <w:rPr>
                <w:rFonts w:hint="eastAsia"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基本支出</w:t>
            </w:r>
          </w:p>
        </w:tc>
        <w:tc>
          <w:tcPr>
            <w:tcW w:w="3242" w:type="dxa"/>
            <w:gridSpan w:val="6"/>
            <w:tcBorders>
              <w:top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9" w:hRule="atLeast"/>
          <w:jc w:val="center"/>
        </w:trPr>
        <w:tc>
          <w:tcPr>
            <w:tcW w:w="1698" w:type="dxa"/>
            <w:gridSpan w:val="3"/>
            <w:vMerge w:val="continue"/>
            <w:noWrap w:val="0"/>
            <w:vAlign w:val="center"/>
          </w:tcPr>
          <w:p>
            <w:pPr>
              <w:spacing w:line="320" w:lineRule="exact"/>
              <w:jc w:val="center"/>
              <w:rPr>
                <w:rFonts w:hint="eastAsia"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人员支出</w:t>
            </w: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p>
        </w:tc>
        <w:tc>
          <w:tcPr>
            <w:tcW w:w="1080" w:type="dxa"/>
            <w:noWrap w:val="0"/>
            <w:vAlign w:val="center"/>
          </w:tcPr>
          <w:p>
            <w:pPr>
              <w:autoSpaceDN w:val="0"/>
              <w:spacing w:line="320" w:lineRule="exact"/>
              <w:jc w:val="center"/>
              <w:textAlignment w:val="center"/>
              <w:rPr>
                <w:rFonts w:hint="eastAsia" w:eastAsia="仿宋_GB2312" w:cs="仿宋_GB2312"/>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p>
        </w:tc>
        <w:tc>
          <w:tcPr>
            <w:tcW w:w="1080" w:type="dxa"/>
            <w:noWrap w:val="0"/>
            <w:vAlign w:val="center"/>
          </w:tcPr>
          <w:p>
            <w:pPr>
              <w:autoSpaceDN w:val="0"/>
              <w:spacing w:line="320" w:lineRule="exact"/>
              <w:jc w:val="center"/>
              <w:textAlignment w:val="center"/>
              <w:rPr>
                <w:rFonts w:hint="eastAsia" w:eastAsia="仿宋_GB2312" w:cs="仿宋_GB2312"/>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74.24</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74.24</w:t>
            </w:r>
          </w:p>
        </w:tc>
        <w:tc>
          <w:tcPr>
            <w:tcW w:w="1082" w:type="dxa"/>
            <w:gridSpan w:val="2"/>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61.72</w:t>
            </w:r>
          </w:p>
        </w:tc>
        <w:tc>
          <w:tcPr>
            <w:tcW w:w="2160" w:type="dxa"/>
            <w:gridSpan w:val="4"/>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12.52</w:t>
            </w:r>
          </w:p>
        </w:tc>
        <w:tc>
          <w:tcPr>
            <w:tcW w:w="1080" w:type="dxa"/>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0.00</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p>
        </w:tc>
        <w:tc>
          <w:tcPr>
            <w:tcW w:w="625" w:type="dxa"/>
            <w:tcBorders>
              <w:lef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p>
        </w:tc>
        <w:tc>
          <w:tcPr>
            <w:tcW w:w="1080" w:type="dxa"/>
            <w:noWrap w:val="0"/>
            <w:vAlign w:val="center"/>
          </w:tcPr>
          <w:p>
            <w:pPr>
              <w:autoSpaceDN w:val="0"/>
              <w:spacing w:line="320" w:lineRule="exact"/>
              <w:jc w:val="center"/>
              <w:textAlignment w:val="center"/>
              <w:rPr>
                <w:rFonts w:hint="eastAsia" w:eastAsia="仿宋_GB2312" w:cs="仿宋_GB2312"/>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4" w:hRule="atLeast"/>
          <w:jc w:val="center"/>
        </w:trPr>
        <w:tc>
          <w:tcPr>
            <w:tcW w:w="1698" w:type="dxa"/>
            <w:gridSpan w:val="3"/>
            <w:vMerge w:val="restart"/>
            <w:noWrap w:val="0"/>
            <w:vAlign w:val="center"/>
          </w:tcPr>
          <w:p>
            <w:pPr>
              <w:spacing w:line="320" w:lineRule="exact"/>
              <w:jc w:val="center"/>
              <w:rPr>
                <w:rFonts w:hint="eastAsia"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三公经费</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合计</w:t>
            </w:r>
          </w:p>
        </w:tc>
        <w:tc>
          <w:tcPr>
            <w:tcW w:w="7022" w:type="dxa"/>
            <w:gridSpan w:val="13"/>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vMerge w:val="continue"/>
            <w:noWrap w:val="0"/>
            <w:vAlign w:val="center"/>
          </w:tcPr>
          <w:p>
            <w:pPr>
              <w:spacing w:line="320" w:lineRule="exact"/>
              <w:jc w:val="center"/>
              <w:rPr>
                <w:rFonts w:hint="eastAsia"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公务接待费</w:t>
            </w: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公务用车运行维护</w:t>
            </w: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公务用车购置费</w:t>
            </w:r>
          </w:p>
        </w:tc>
        <w:tc>
          <w:tcPr>
            <w:tcW w:w="2425" w:type="dxa"/>
            <w:gridSpan w:val="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因公出国（</w:t>
            </w:r>
            <w:r>
              <w:rPr>
                <w:rFonts w:hint="eastAsia" w:cs="宋体"/>
                <w:sz w:val="24"/>
              </w:rPr>
              <w:t>境）</w:t>
            </w:r>
            <w:r>
              <w:rPr>
                <w:rFonts w:hint="eastAsia" w:eastAsia="仿宋_GB2312" w:cs="仿宋_GB2312"/>
                <w:sz w:val="24"/>
              </w:rPr>
              <w:t>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p>
        </w:tc>
        <w:tc>
          <w:tcPr>
            <w:tcW w:w="2425" w:type="dxa"/>
            <w:gridSpan w:val="5"/>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9"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p>
        </w:tc>
        <w:tc>
          <w:tcPr>
            <w:tcW w:w="2425" w:type="dxa"/>
            <w:gridSpan w:val="5"/>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0.00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eastAsia="仿宋_GB2312" w:cs="仿宋_GB2312"/>
                <w:sz w:val="24"/>
                <w:lang w:val="en" w:eastAsia="zh-CN"/>
              </w:rPr>
            </w:pPr>
            <w:r>
              <w:rPr>
                <w:rFonts w:hint="eastAsia" w:eastAsia="仿宋_GB2312" w:cs="仿宋_GB2312"/>
                <w:sz w:val="24"/>
                <w:lang w:val="en-US" w:eastAsia="zh-CN"/>
              </w:rPr>
              <w:t>0.</w:t>
            </w:r>
            <w:r>
              <w:rPr>
                <w:rFonts w:hint="default" w:eastAsia="仿宋_GB2312" w:cs="仿宋_GB2312"/>
                <w:sz w:val="24"/>
                <w:lang w:val="en" w:eastAsia="zh-CN"/>
              </w:rPr>
              <w:t>06</w:t>
            </w:r>
          </w:p>
        </w:tc>
        <w:tc>
          <w:tcPr>
            <w:tcW w:w="1082" w:type="dxa"/>
            <w:gridSpan w:val="2"/>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0.00</w:t>
            </w:r>
          </w:p>
        </w:tc>
        <w:tc>
          <w:tcPr>
            <w:tcW w:w="2160" w:type="dxa"/>
            <w:gridSpan w:val="4"/>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0.00</w:t>
            </w:r>
          </w:p>
        </w:tc>
        <w:tc>
          <w:tcPr>
            <w:tcW w:w="2425" w:type="dxa"/>
            <w:gridSpan w:val="5"/>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082" w:type="dxa"/>
            <w:gridSpan w:val="2"/>
            <w:noWrap w:val="0"/>
            <w:vAlign w:val="center"/>
          </w:tcPr>
          <w:p>
            <w:pPr>
              <w:autoSpaceDN w:val="0"/>
              <w:spacing w:line="320" w:lineRule="exact"/>
              <w:jc w:val="center"/>
              <w:textAlignment w:val="center"/>
              <w:rPr>
                <w:rFonts w:hint="eastAsia" w:eastAsia="仿宋_GB2312" w:cs="仿宋_GB2312"/>
                <w:sz w:val="24"/>
              </w:rPr>
            </w:pPr>
          </w:p>
        </w:tc>
        <w:tc>
          <w:tcPr>
            <w:tcW w:w="2160" w:type="dxa"/>
            <w:gridSpan w:val="4"/>
            <w:noWrap w:val="0"/>
            <w:vAlign w:val="center"/>
          </w:tcPr>
          <w:p>
            <w:pPr>
              <w:autoSpaceDN w:val="0"/>
              <w:spacing w:line="320" w:lineRule="exact"/>
              <w:jc w:val="center"/>
              <w:textAlignment w:val="center"/>
              <w:rPr>
                <w:rFonts w:hint="eastAsia" w:eastAsia="仿宋_GB2312" w:cs="仿宋_GB2312"/>
                <w:sz w:val="24"/>
              </w:rPr>
            </w:pPr>
          </w:p>
        </w:tc>
        <w:tc>
          <w:tcPr>
            <w:tcW w:w="2425" w:type="dxa"/>
            <w:gridSpan w:val="5"/>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4" w:hRule="atLeast"/>
          <w:jc w:val="center"/>
        </w:trPr>
        <w:tc>
          <w:tcPr>
            <w:tcW w:w="1698" w:type="dxa"/>
            <w:gridSpan w:val="3"/>
            <w:vMerge w:val="restart"/>
            <w:noWrap w:val="0"/>
            <w:vAlign w:val="center"/>
          </w:tcPr>
          <w:p>
            <w:pPr>
              <w:spacing w:line="320" w:lineRule="exact"/>
              <w:jc w:val="center"/>
              <w:rPr>
                <w:rFonts w:hint="eastAsia" w:eastAsia="仿宋_GB2312" w:cs="仿宋_GB2312"/>
                <w:sz w:val="24"/>
              </w:rPr>
            </w:pPr>
            <w:r>
              <w:rPr>
                <w:rFonts w:hint="eastAsia"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固定资产</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合计</w:t>
            </w:r>
          </w:p>
        </w:tc>
        <w:tc>
          <w:tcPr>
            <w:tcW w:w="7022" w:type="dxa"/>
            <w:gridSpan w:val="13"/>
            <w:tcBorders>
              <w:left w:val="single" w:color="auto" w:sz="4" w:space="0"/>
            </w:tcBorders>
            <w:noWrap w:val="0"/>
            <w:vAlign w:val="center"/>
          </w:tcPr>
          <w:p>
            <w:pPr>
              <w:autoSpaceDN w:val="0"/>
              <w:spacing w:line="320" w:lineRule="exact"/>
              <w:ind w:firstLine="2160" w:firstLineChars="900"/>
              <w:textAlignment w:val="center"/>
              <w:rPr>
                <w:rFonts w:hint="eastAsia"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9" w:hRule="atLeast"/>
          <w:jc w:val="center"/>
        </w:trPr>
        <w:tc>
          <w:tcPr>
            <w:tcW w:w="1698" w:type="dxa"/>
            <w:gridSpan w:val="3"/>
            <w:vMerge w:val="continue"/>
            <w:noWrap w:val="0"/>
            <w:vAlign w:val="center"/>
          </w:tcPr>
          <w:p>
            <w:pPr>
              <w:spacing w:line="320" w:lineRule="exact"/>
              <w:jc w:val="center"/>
              <w:rPr>
                <w:rFonts w:hint="eastAsia"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2437"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在用固定资产</w:t>
            </w:r>
          </w:p>
        </w:tc>
        <w:tc>
          <w:tcPr>
            <w:tcW w:w="3644" w:type="dxa"/>
            <w:gridSpan w:val="7"/>
            <w:tcBorders>
              <w:top w:val="single" w:color="auto" w:sz="4" w:space="0"/>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出租固定资产</w:t>
            </w:r>
          </w:p>
        </w:tc>
        <w:tc>
          <w:tcPr>
            <w:tcW w:w="941" w:type="dxa"/>
            <w:gridSpan w:val="2"/>
            <w:tcBorders>
              <w:top w:val="single" w:color="auto" w:sz="4" w:space="0"/>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2437"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3644" w:type="dxa"/>
            <w:gridSpan w:val="7"/>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2437"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3644" w:type="dxa"/>
            <w:gridSpan w:val="7"/>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1.94</w:t>
            </w:r>
          </w:p>
        </w:tc>
        <w:tc>
          <w:tcPr>
            <w:tcW w:w="2437" w:type="dxa"/>
            <w:gridSpan w:val="4"/>
            <w:tcBorders>
              <w:left w:val="single" w:color="auto" w:sz="4" w:space="0"/>
            </w:tcBorders>
            <w:noWrap w:val="0"/>
            <w:vAlign w:val="center"/>
          </w:tcPr>
          <w:p>
            <w:pPr>
              <w:autoSpaceDN w:val="0"/>
              <w:spacing w:line="320" w:lineRule="exact"/>
              <w:jc w:val="center"/>
              <w:textAlignment w:val="center"/>
              <w:rPr>
                <w:rFonts w:hint="default" w:eastAsia="仿宋_GB2312" w:cs="仿宋_GB2312"/>
                <w:sz w:val="24"/>
                <w:lang w:val="en-US" w:eastAsia="zh-CN"/>
              </w:rPr>
            </w:pPr>
            <w:r>
              <w:rPr>
                <w:rFonts w:hint="eastAsia" w:eastAsia="仿宋_GB2312" w:cs="仿宋_GB2312"/>
                <w:sz w:val="24"/>
                <w:lang w:val="en-US" w:eastAsia="zh-CN"/>
              </w:rPr>
              <w:t>1.94</w:t>
            </w:r>
          </w:p>
        </w:tc>
        <w:tc>
          <w:tcPr>
            <w:tcW w:w="3644" w:type="dxa"/>
            <w:gridSpan w:val="7"/>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698" w:type="dxa"/>
            <w:gridSpan w:val="3"/>
            <w:noWrap w:val="0"/>
            <w:vAlign w:val="center"/>
          </w:tcPr>
          <w:p>
            <w:pPr>
              <w:spacing w:line="320" w:lineRule="exact"/>
              <w:jc w:val="left"/>
              <w:rPr>
                <w:rFonts w:hint="eastAsia" w:eastAsia="仿宋_GB2312" w:cs="仿宋_GB2312"/>
                <w:sz w:val="24"/>
              </w:rPr>
            </w:pPr>
            <w:r>
              <w:rPr>
                <w:rFonts w:hint="eastAsia"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2437" w:type="dxa"/>
            <w:gridSpan w:val="4"/>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3644" w:type="dxa"/>
            <w:gridSpan w:val="7"/>
            <w:noWrap w:val="0"/>
            <w:vAlign w:val="center"/>
          </w:tcPr>
          <w:p>
            <w:pPr>
              <w:autoSpaceDN w:val="0"/>
              <w:spacing w:line="320" w:lineRule="exact"/>
              <w:jc w:val="center"/>
              <w:textAlignment w:val="center"/>
              <w:rPr>
                <w:rFonts w:hint="eastAsia" w:eastAsia="仿宋_GB2312" w:cs="仿宋_GB2312"/>
                <w:sz w:val="24"/>
              </w:rPr>
            </w:pPr>
          </w:p>
        </w:tc>
        <w:tc>
          <w:tcPr>
            <w:tcW w:w="941" w:type="dxa"/>
            <w:gridSpan w:val="2"/>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7"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0" w:type="dxa"/>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整体支出绩效定性目标及实施计划完成情况</w:t>
            </w:r>
          </w:p>
        </w:tc>
        <w:tc>
          <w:tcPr>
            <w:tcW w:w="3775" w:type="dxa"/>
            <w:gridSpan w:val="7"/>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预期目标</w:t>
            </w:r>
          </w:p>
        </w:tc>
        <w:tc>
          <w:tcPr>
            <w:tcW w:w="4585" w:type="dxa"/>
            <w:gridSpan w:val="9"/>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27"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3775" w:type="dxa"/>
            <w:gridSpan w:val="7"/>
            <w:noWrap w:val="0"/>
            <w:vAlign w:val="center"/>
          </w:tcPr>
          <w:p>
            <w:pPr>
              <w:autoSpaceDN w:val="0"/>
              <w:spacing w:line="320" w:lineRule="exact"/>
              <w:jc w:val="left"/>
              <w:textAlignment w:val="center"/>
              <w:rPr>
                <w:rFonts w:hint="eastAsia" w:ascii="宋体" w:hAnsi="宋体" w:eastAsia="宋体" w:cs="宋体"/>
                <w:color w:val="222222"/>
                <w:sz w:val="22"/>
                <w:szCs w:val="22"/>
              </w:rPr>
            </w:pPr>
            <w:r>
              <w:rPr>
                <w:rFonts w:hint="eastAsia" w:eastAsia="仿宋_GB2312" w:cs="仿宋_GB2312"/>
                <w:sz w:val="24"/>
              </w:rPr>
              <w:t>目标1：</w:t>
            </w:r>
            <w:r>
              <w:rPr>
                <w:rFonts w:hint="eastAsia" w:ascii="宋体" w:hAnsi="宋体" w:eastAsia="宋体" w:cs="宋体"/>
                <w:color w:val="222222"/>
                <w:sz w:val="22"/>
                <w:szCs w:val="22"/>
              </w:rPr>
              <w:t>全年召开支委会</w:t>
            </w:r>
            <w:r>
              <w:rPr>
                <w:rFonts w:hint="eastAsia" w:ascii="宋体" w:hAnsi="宋体" w:eastAsia="宋体" w:cs="宋体"/>
                <w:color w:val="222222"/>
                <w:sz w:val="22"/>
                <w:szCs w:val="22"/>
                <w:lang w:val="en-US" w:eastAsia="zh-CN"/>
              </w:rPr>
              <w:t>4</w:t>
            </w:r>
            <w:r>
              <w:rPr>
                <w:rFonts w:hint="eastAsia" w:ascii="宋体" w:hAnsi="宋体" w:eastAsia="宋体" w:cs="宋体"/>
                <w:color w:val="222222"/>
                <w:sz w:val="22"/>
                <w:szCs w:val="22"/>
              </w:rPr>
              <w:t>次，召开支部大会3次。</w:t>
            </w:r>
          </w:p>
          <w:p>
            <w:pPr>
              <w:autoSpaceDN w:val="0"/>
              <w:spacing w:line="320" w:lineRule="exact"/>
              <w:jc w:val="left"/>
              <w:textAlignment w:val="center"/>
              <w:rPr>
                <w:rFonts w:hint="eastAsia" w:eastAsia="仿宋_GB2312" w:cs="仿宋_GB2312"/>
                <w:sz w:val="24"/>
                <w:szCs w:val="24"/>
              </w:rPr>
            </w:pPr>
            <w:r>
              <w:rPr>
                <w:rFonts w:hint="eastAsia" w:eastAsia="仿宋_GB2312" w:cs="仿宋_GB2312"/>
                <w:sz w:val="24"/>
              </w:rPr>
              <w:t>目标2</w:t>
            </w:r>
            <w:r>
              <w:rPr>
                <w:rFonts w:hint="eastAsia" w:eastAsia="仿宋_GB2312" w:cs="仿宋_GB2312"/>
                <w:sz w:val="24"/>
                <w:lang w:eastAsia="zh-CN"/>
              </w:rPr>
              <w:t>：</w:t>
            </w:r>
            <w:r>
              <w:rPr>
                <w:rFonts w:hint="eastAsia" w:ascii="宋体" w:hAnsi="宋体" w:eastAsia="宋体" w:cs="宋体"/>
                <w:color w:val="222222"/>
                <w:sz w:val="22"/>
                <w:szCs w:val="22"/>
              </w:rPr>
              <w:t>落实老干部政治待遇。</w:t>
            </w:r>
          </w:p>
          <w:p>
            <w:pPr>
              <w:pStyle w:val="4"/>
              <w:shd w:val="clear" w:color="auto" w:fill="FFFFFF"/>
              <w:spacing w:before="0" w:beforeAutospacing="0" w:after="0" w:afterAutospacing="0" w:line="450" w:lineRule="atLeast"/>
              <w:ind w:right="300"/>
              <w:jc w:val="both"/>
              <w:rPr>
                <w:rFonts w:hint="eastAsia" w:ascii="宋体" w:hAnsi="宋体" w:eastAsia="宋体" w:cs="宋体"/>
                <w:color w:val="222222"/>
                <w:sz w:val="22"/>
                <w:szCs w:val="22"/>
              </w:rPr>
            </w:pPr>
            <w:r>
              <w:rPr>
                <w:rFonts w:hint="eastAsia" w:eastAsia="仿宋_GB2312" w:cs="仿宋_GB2312"/>
                <w:sz w:val="24"/>
              </w:rPr>
              <w:t>目标3：</w:t>
            </w:r>
            <w:r>
              <w:rPr>
                <w:rFonts w:hint="eastAsia" w:ascii="宋体" w:hAnsi="宋体" w:eastAsia="宋体" w:cs="宋体"/>
                <w:color w:val="222222"/>
                <w:sz w:val="22"/>
                <w:szCs w:val="22"/>
              </w:rPr>
              <w:t>打造老干部活动平台，让老干部“老有所乐”，开展活动的频有规律。</w:t>
            </w:r>
          </w:p>
          <w:p>
            <w:pPr>
              <w:autoSpaceDN w:val="0"/>
              <w:spacing w:line="320" w:lineRule="exact"/>
              <w:jc w:val="left"/>
              <w:textAlignment w:val="center"/>
              <w:rPr>
                <w:rFonts w:hint="eastAsia" w:eastAsia="仿宋_GB2312" w:cs="仿宋_GB2312"/>
                <w:sz w:val="24"/>
              </w:rPr>
            </w:pPr>
          </w:p>
        </w:tc>
        <w:tc>
          <w:tcPr>
            <w:tcW w:w="4585" w:type="dxa"/>
            <w:gridSpan w:val="9"/>
            <w:noWrap w:val="0"/>
            <w:vAlign w:val="center"/>
          </w:tcPr>
          <w:p>
            <w:pPr>
              <w:numPr>
                <w:ilvl w:val="0"/>
                <w:numId w:val="2"/>
              </w:numPr>
              <w:autoSpaceDN w:val="0"/>
              <w:spacing w:line="320" w:lineRule="exact"/>
              <w:jc w:val="left"/>
              <w:textAlignment w:val="center"/>
              <w:rPr>
                <w:rFonts w:hint="eastAsia" w:ascii="宋体" w:hAnsi="宋体" w:eastAsia="宋体" w:cs="宋体"/>
                <w:color w:val="222222"/>
                <w:sz w:val="22"/>
                <w:szCs w:val="22"/>
              </w:rPr>
            </w:pPr>
            <w:r>
              <w:rPr>
                <w:rFonts w:hint="eastAsia" w:ascii="宋体" w:hAnsi="宋体" w:eastAsia="宋体" w:cs="宋体"/>
                <w:color w:val="222222"/>
                <w:sz w:val="22"/>
                <w:szCs w:val="22"/>
              </w:rPr>
              <w:t>深入开展了“五好支部”的创建活动，强班子、带队伍，定机制，全年召开支委会7次，召开支部大会3次。</w:t>
            </w:r>
          </w:p>
          <w:p>
            <w:pPr>
              <w:pStyle w:val="4"/>
              <w:numPr>
                <w:ilvl w:val="0"/>
                <w:numId w:val="2"/>
              </w:numPr>
              <w:shd w:val="clear" w:color="auto" w:fill="FFFFFF"/>
              <w:spacing w:before="0" w:beforeAutospacing="0" w:after="0" w:afterAutospacing="0" w:line="450" w:lineRule="atLeast"/>
              <w:ind w:left="0" w:leftChars="0" w:right="300" w:firstLine="0" w:firstLineChars="0"/>
              <w:jc w:val="both"/>
              <w:rPr>
                <w:rFonts w:hint="eastAsia" w:ascii="宋体" w:hAnsi="宋体" w:eastAsia="宋体" w:cs="宋体"/>
                <w:color w:val="222222"/>
                <w:sz w:val="22"/>
                <w:szCs w:val="22"/>
                <w:lang w:eastAsia="zh-CN"/>
              </w:rPr>
            </w:pPr>
            <w:r>
              <w:rPr>
                <w:rFonts w:hint="eastAsia" w:ascii="宋体" w:hAnsi="宋体" w:eastAsia="宋体" w:cs="宋体"/>
                <w:color w:val="222222"/>
                <w:sz w:val="22"/>
                <w:szCs w:val="22"/>
              </w:rPr>
              <w:t>为老干部</w:t>
            </w:r>
            <w:r>
              <w:rPr>
                <w:rFonts w:hint="eastAsia" w:ascii="宋体" w:hAnsi="宋体" w:eastAsia="宋体" w:cs="宋体"/>
                <w:color w:val="222222"/>
                <w:sz w:val="22"/>
                <w:szCs w:val="22"/>
                <w:lang w:eastAsia="zh-CN"/>
              </w:rPr>
              <w:t>发放《老年人》、《参考消息》、《湘江评论》、</w:t>
            </w:r>
            <w:r>
              <w:rPr>
                <w:rFonts w:hint="eastAsia" w:ascii="宋体" w:hAnsi="宋体" w:eastAsia="宋体" w:cs="宋体"/>
                <w:color w:val="222222"/>
                <w:sz w:val="22"/>
                <w:szCs w:val="22"/>
              </w:rPr>
              <w:t>《</w:t>
            </w:r>
            <w:r>
              <w:rPr>
                <w:rFonts w:hint="eastAsia" w:ascii="宋体" w:hAnsi="宋体" w:eastAsia="宋体" w:cs="宋体"/>
                <w:color w:val="222222"/>
                <w:sz w:val="22"/>
                <w:szCs w:val="22"/>
                <w:lang w:eastAsia="zh-CN"/>
              </w:rPr>
              <w:t>习近平谈治国理政</w:t>
            </w:r>
            <w:r>
              <w:rPr>
                <w:rFonts w:hint="eastAsia" w:ascii="宋体" w:hAnsi="宋体" w:eastAsia="宋体" w:cs="宋体"/>
                <w:color w:val="222222"/>
                <w:sz w:val="22"/>
                <w:szCs w:val="22"/>
              </w:rPr>
              <w:t>》</w:t>
            </w:r>
            <w:r>
              <w:rPr>
                <w:rFonts w:hint="eastAsia" w:ascii="宋体" w:hAnsi="宋体" w:eastAsia="宋体" w:cs="宋体"/>
                <w:color w:val="222222"/>
                <w:sz w:val="22"/>
                <w:szCs w:val="22"/>
                <w:lang w:eastAsia="zh-CN"/>
              </w:rPr>
              <w:t>第三卷等书籍</w:t>
            </w:r>
            <w:r>
              <w:rPr>
                <w:rFonts w:hint="eastAsia" w:ascii="宋体" w:hAnsi="宋体" w:eastAsia="宋体" w:cs="宋体"/>
                <w:color w:val="222222"/>
                <w:sz w:val="22"/>
                <w:szCs w:val="22"/>
                <w:lang w:val="en-US" w:eastAsia="zh-CN"/>
              </w:rPr>
              <w:t>3千多本，</w:t>
            </w:r>
            <w:r>
              <w:rPr>
                <w:rFonts w:hint="eastAsia" w:ascii="宋体" w:hAnsi="宋体" w:eastAsia="宋体" w:cs="宋体"/>
                <w:color w:val="222222"/>
                <w:sz w:val="22"/>
                <w:szCs w:val="22"/>
              </w:rPr>
              <w:t>订报订刊</w:t>
            </w:r>
            <w:r>
              <w:rPr>
                <w:rFonts w:hint="eastAsia" w:ascii="宋体" w:hAnsi="宋体" w:eastAsia="宋体" w:cs="宋体"/>
                <w:color w:val="222222"/>
                <w:sz w:val="22"/>
                <w:szCs w:val="22"/>
                <w:lang w:eastAsia="zh-CN"/>
              </w:rPr>
              <w:t>。</w:t>
            </w:r>
          </w:p>
          <w:p>
            <w:pPr>
              <w:pStyle w:val="4"/>
              <w:numPr>
                <w:ilvl w:val="0"/>
                <w:numId w:val="2"/>
              </w:numPr>
              <w:shd w:val="clear" w:color="auto" w:fill="FFFFFF"/>
              <w:spacing w:before="0" w:beforeAutospacing="0" w:after="0" w:afterAutospacing="0" w:line="450" w:lineRule="atLeast"/>
              <w:ind w:left="0" w:leftChars="0" w:right="300" w:firstLine="0" w:firstLineChars="0"/>
              <w:jc w:val="both"/>
              <w:rPr>
                <w:rFonts w:hint="eastAsia" w:ascii="宋体" w:hAnsi="宋体" w:eastAsia="宋体" w:cs="宋体"/>
                <w:color w:val="222222"/>
                <w:sz w:val="22"/>
                <w:szCs w:val="22"/>
                <w:lang w:eastAsia="zh-CN"/>
              </w:rPr>
            </w:pPr>
            <w:r>
              <w:rPr>
                <w:rFonts w:hint="eastAsia" w:ascii="宋体" w:hAnsi="宋体" w:eastAsia="宋体" w:cs="宋体"/>
                <w:color w:val="222222"/>
                <w:sz w:val="22"/>
                <w:szCs w:val="22"/>
                <w:lang w:eastAsia="zh-CN"/>
              </w:rPr>
              <w:t>按照州老干发【</w:t>
            </w:r>
            <w:r>
              <w:rPr>
                <w:rFonts w:hint="eastAsia" w:ascii="宋体" w:hAnsi="宋体" w:eastAsia="宋体" w:cs="宋体"/>
                <w:color w:val="222222"/>
                <w:sz w:val="22"/>
                <w:szCs w:val="22"/>
                <w:lang w:val="en-US" w:eastAsia="zh-CN"/>
              </w:rPr>
              <w:t>202</w:t>
            </w:r>
            <w:r>
              <w:rPr>
                <w:rFonts w:hint="eastAsia" w:cs="宋体"/>
                <w:color w:val="222222"/>
                <w:sz w:val="22"/>
                <w:szCs w:val="22"/>
                <w:lang w:val="en-US" w:eastAsia="zh-CN"/>
              </w:rPr>
              <w:t>1</w:t>
            </w:r>
            <w:r>
              <w:rPr>
                <w:rFonts w:hint="eastAsia" w:ascii="宋体" w:hAnsi="宋体" w:eastAsia="宋体" w:cs="宋体"/>
                <w:color w:val="222222"/>
                <w:sz w:val="22"/>
                <w:szCs w:val="22"/>
                <w:lang w:eastAsia="zh-CN"/>
              </w:rPr>
              <w:t>】</w:t>
            </w:r>
            <w:r>
              <w:rPr>
                <w:rFonts w:hint="eastAsia" w:ascii="宋体" w:hAnsi="宋体" w:eastAsia="宋体" w:cs="宋体"/>
                <w:color w:val="222222"/>
                <w:sz w:val="22"/>
                <w:szCs w:val="22"/>
                <w:lang w:val="en-US" w:eastAsia="zh-CN"/>
              </w:rPr>
              <w:t>1号</w:t>
            </w:r>
            <w:r>
              <w:rPr>
                <w:rFonts w:hint="eastAsia" w:ascii="宋体" w:hAnsi="宋体" w:eastAsia="宋体" w:cs="宋体"/>
                <w:color w:val="222222"/>
                <w:sz w:val="22"/>
                <w:szCs w:val="22"/>
              </w:rPr>
              <w:t>文件</w:t>
            </w:r>
            <w:r>
              <w:rPr>
                <w:rFonts w:hint="eastAsia" w:ascii="宋体" w:hAnsi="宋体" w:eastAsia="宋体" w:cs="宋体"/>
                <w:color w:val="222222"/>
                <w:sz w:val="22"/>
                <w:szCs w:val="22"/>
                <w:lang w:eastAsia="zh-CN"/>
              </w:rPr>
              <w:t>精神</w:t>
            </w:r>
            <w:r>
              <w:rPr>
                <w:rFonts w:hint="eastAsia" w:ascii="宋体" w:hAnsi="宋体" w:eastAsia="宋体" w:cs="宋体"/>
                <w:color w:val="222222"/>
                <w:sz w:val="22"/>
                <w:szCs w:val="22"/>
              </w:rPr>
              <w:t>，认真策划，有步骤地组织</w:t>
            </w:r>
            <w:r>
              <w:rPr>
                <w:rFonts w:hint="eastAsia" w:ascii="宋体" w:hAnsi="宋体" w:eastAsia="宋体" w:cs="宋体"/>
                <w:color w:val="222222"/>
                <w:sz w:val="22"/>
                <w:szCs w:val="22"/>
                <w:lang w:eastAsia="zh-CN"/>
              </w:rPr>
              <w:t>开展</w:t>
            </w:r>
            <w:r>
              <w:rPr>
                <w:rFonts w:hint="eastAsia" w:ascii="宋体" w:hAnsi="宋体" w:eastAsia="宋体" w:cs="宋体"/>
                <w:color w:val="222222"/>
                <w:sz w:val="22"/>
                <w:szCs w:val="22"/>
              </w:rPr>
              <w:t>了</w:t>
            </w:r>
            <w:r>
              <w:rPr>
                <w:rFonts w:hint="eastAsia" w:ascii="宋体" w:hAnsi="宋体" w:eastAsia="宋体" w:cs="宋体"/>
                <w:color w:val="222222"/>
                <w:sz w:val="22"/>
                <w:szCs w:val="22"/>
                <w:lang w:eastAsia="zh-CN"/>
              </w:rPr>
              <w:t>新春座谈会</w:t>
            </w:r>
            <w:r>
              <w:rPr>
                <w:rFonts w:hint="eastAsia" w:ascii="宋体" w:hAnsi="宋体" w:eastAsia="宋体" w:cs="宋体"/>
                <w:color w:val="222222"/>
                <w:sz w:val="22"/>
                <w:szCs w:val="22"/>
              </w:rPr>
              <w:t>“</w:t>
            </w:r>
            <w:r>
              <w:rPr>
                <w:rFonts w:hint="eastAsia" w:ascii="宋体" w:hAnsi="宋体" w:eastAsia="宋体" w:cs="宋体"/>
                <w:color w:val="222222"/>
                <w:sz w:val="22"/>
                <w:szCs w:val="22"/>
                <w:lang w:eastAsia="zh-CN"/>
              </w:rPr>
              <w:t>展商务风采</w:t>
            </w:r>
            <w:r>
              <w:rPr>
                <w:rFonts w:hint="eastAsia" w:ascii="宋体" w:hAnsi="宋体" w:eastAsia="宋体" w:cs="宋体"/>
                <w:color w:val="222222"/>
                <w:sz w:val="22"/>
                <w:szCs w:val="22"/>
                <w:lang w:val="en-US" w:eastAsia="zh-CN"/>
              </w:rPr>
              <w:t>.</w:t>
            </w:r>
            <w:r>
              <w:rPr>
                <w:rFonts w:hint="eastAsia" w:ascii="宋体" w:hAnsi="宋体" w:eastAsia="宋体" w:cs="宋体"/>
                <w:color w:val="222222"/>
                <w:sz w:val="22"/>
                <w:szCs w:val="22"/>
                <w:lang w:eastAsia="zh-CN"/>
              </w:rPr>
              <w:t>品招商成果</w:t>
            </w:r>
            <w:r>
              <w:rPr>
                <w:rFonts w:hint="eastAsia" w:ascii="宋体" w:hAnsi="宋体" w:eastAsia="宋体" w:cs="宋体"/>
                <w:color w:val="222222"/>
                <w:sz w:val="22"/>
                <w:szCs w:val="22"/>
              </w:rPr>
              <w:t>”</w:t>
            </w:r>
            <w:r>
              <w:rPr>
                <w:rFonts w:hint="eastAsia" w:ascii="宋体" w:hAnsi="宋体" w:eastAsia="宋体" w:cs="宋体"/>
                <w:color w:val="222222"/>
                <w:sz w:val="22"/>
                <w:szCs w:val="22"/>
                <w:lang w:eastAsia="zh-CN"/>
              </w:rPr>
              <w:t>、“寿星乐</w:t>
            </w:r>
            <w:r>
              <w:rPr>
                <w:rFonts w:hint="eastAsia" w:ascii="宋体" w:hAnsi="宋体" w:eastAsia="宋体" w:cs="宋体"/>
                <w:color w:val="222222"/>
                <w:sz w:val="22"/>
                <w:szCs w:val="22"/>
                <w:lang w:val="en-US" w:eastAsia="zh-CN"/>
              </w:rPr>
              <w:t>.夕阳美</w:t>
            </w:r>
            <w:r>
              <w:rPr>
                <w:rFonts w:hint="eastAsia" w:ascii="宋体" w:hAnsi="宋体" w:eastAsia="宋体" w:cs="宋体"/>
                <w:color w:val="222222"/>
                <w:sz w:val="22"/>
                <w:szCs w:val="22"/>
                <w:lang w:eastAsia="zh-CN"/>
              </w:rPr>
              <w:t>”经典诵读会、“乐享银龄”等</w:t>
            </w:r>
            <w:r>
              <w:rPr>
                <w:rFonts w:hint="eastAsia" w:ascii="宋体" w:hAnsi="宋体" w:eastAsia="宋体" w:cs="宋体"/>
                <w:color w:val="222222"/>
                <w:sz w:val="22"/>
                <w:szCs w:val="22"/>
              </w:rPr>
              <w:t>5次大型活动</w:t>
            </w:r>
          </w:p>
          <w:p>
            <w:pPr>
              <w:numPr>
                <w:ilvl w:val="0"/>
                <w:numId w:val="0"/>
              </w:numPr>
              <w:autoSpaceDN w:val="0"/>
              <w:spacing w:line="320" w:lineRule="exact"/>
              <w:jc w:val="left"/>
              <w:textAlignment w:val="center"/>
              <w:rPr>
                <w:rFonts w:hint="eastAsia" w:ascii="宋体" w:hAnsi="宋体" w:eastAsia="宋体" w:cs="宋体"/>
                <w:color w:val="22222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0" w:type="dxa"/>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整体支出</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绩效定量目标及实施计划完成情况</w:t>
            </w:r>
          </w:p>
        </w:tc>
        <w:tc>
          <w:tcPr>
            <w:tcW w:w="2958" w:type="dxa"/>
            <w:gridSpan w:val="6"/>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评价内容</w:t>
            </w:r>
          </w:p>
        </w:tc>
        <w:tc>
          <w:tcPr>
            <w:tcW w:w="817" w:type="dxa"/>
            <w:tcBorders>
              <w:right w:val="single" w:color="auto" w:sz="4" w:space="0"/>
            </w:tcBorders>
            <w:noWrap w:val="0"/>
            <w:vAlign w:val="center"/>
          </w:tcPr>
          <w:p>
            <w:pPr>
              <w:autoSpaceDN w:val="0"/>
              <w:spacing w:line="320" w:lineRule="exact"/>
              <w:jc w:val="center"/>
              <w:textAlignment w:val="center"/>
              <w:rPr>
                <w:rFonts w:hint="eastAsia" w:eastAsia="仿宋_GB2312" w:cs="仿宋_GB2312"/>
                <w:sz w:val="24"/>
              </w:rPr>
            </w:pPr>
          </w:p>
        </w:tc>
        <w:tc>
          <w:tcPr>
            <w:tcW w:w="1899" w:type="dxa"/>
            <w:gridSpan w:val="3"/>
            <w:tcBorders>
              <w:left w:val="single" w:color="auto" w:sz="4" w:space="0"/>
            </w:tcBorders>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绩效目标</w:t>
            </w:r>
          </w:p>
        </w:tc>
        <w:tc>
          <w:tcPr>
            <w:tcW w:w="2686" w:type="dxa"/>
            <w:gridSpan w:val="6"/>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产出目标</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（部门工作实绩，包含上级部门和州委州政府布置的重点工作、实事任务等，根据部门实际进行调整细化）</w:t>
            </w:r>
          </w:p>
        </w:tc>
        <w:tc>
          <w:tcPr>
            <w:tcW w:w="945" w:type="dxa"/>
            <w:gridSpan w:val="2"/>
            <w:vMerge w:val="restart"/>
            <w:noWrap w:val="0"/>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数量、质量、时效、成本指标</w:t>
            </w:r>
          </w:p>
          <w:p>
            <w:pPr>
              <w:autoSpaceDN w:val="0"/>
              <w:spacing w:line="320" w:lineRule="exact"/>
              <w:jc w:val="center"/>
              <w:textAlignment w:val="center"/>
              <w:rPr>
                <w:rFonts w:hint="eastAsia" w:eastAsia="仿宋_GB2312" w:cs="仿宋_GB2312"/>
                <w:sz w:val="24"/>
              </w:rPr>
            </w:pPr>
          </w:p>
        </w:tc>
        <w:tc>
          <w:tcPr>
            <w:tcW w:w="817"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指标1：</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ascii="宋体" w:hAnsi="宋体" w:eastAsia="宋体" w:cs="宋体"/>
                <w:color w:val="222222"/>
                <w:sz w:val="22"/>
                <w:szCs w:val="22"/>
              </w:rPr>
            </w:pPr>
            <w:r>
              <w:rPr>
                <w:rFonts w:hint="eastAsia" w:ascii="宋体" w:hAnsi="宋体" w:eastAsia="宋体" w:cs="宋体"/>
                <w:color w:val="222222"/>
                <w:sz w:val="22"/>
                <w:szCs w:val="22"/>
              </w:rPr>
              <w:t>全年召开支委会</w:t>
            </w:r>
            <w:r>
              <w:rPr>
                <w:rFonts w:hint="eastAsia" w:ascii="宋体" w:hAnsi="宋体" w:eastAsia="宋体" w:cs="宋体"/>
                <w:color w:val="222222"/>
                <w:sz w:val="22"/>
                <w:szCs w:val="22"/>
                <w:lang w:val="en-US" w:eastAsia="zh-CN"/>
              </w:rPr>
              <w:t>4</w:t>
            </w:r>
            <w:r>
              <w:rPr>
                <w:rFonts w:hint="eastAsia" w:ascii="宋体" w:hAnsi="宋体" w:eastAsia="宋体" w:cs="宋体"/>
                <w:color w:val="222222"/>
                <w:sz w:val="22"/>
                <w:szCs w:val="22"/>
              </w:rPr>
              <w:t>次，召开支部大会3次。</w:t>
            </w:r>
          </w:p>
          <w:p>
            <w:pPr>
              <w:autoSpaceDN w:val="0"/>
              <w:spacing w:line="320" w:lineRule="exact"/>
              <w:jc w:val="left"/>
              <w:textAlignment w:val="center"/>
              <w:rPr>
                <w:rFonts w:hint="eastAsia" w:eastAsia="仿宋_GB2312" w:cs="仿宋_GB2312"/>
                <w:sz w:val="24"/>
              </w:rPr>
            </w:pPr>
          </w:p>
        </w:tc>
        <w:tc>
          <w:tcPr>
            <w:tcW w:w="2686" w:type="dxa"/>
            <w:gridSpan w:val="6"/>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945"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7"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指标2：</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szCs w:val="24"/>
              </w:rPr>
            </w:pPr>
            <w:r>
              <w:rPr>
                <w:rFonts w:hint="eastAsia" w:ascii="宋体" w:hAnsi="宋体" w:eastAsia="宋体" w:cs="宋体"/>
                <w:color w:val="222222"/>
                <w:sz w:val="22"/>
                <w:szCs w:val="22"/>
              </w:rPr>
              <w:t>落实老干部政治待遇</w:t>
            </w:r>
          </w:p>
        </w:tc>
        <w:tc>
          <w:tcPr>
            <w:tcW w:w="2686" w:type="dxa"/>
            <w:gridSpan w:val="6"/>
            <w:noWrap w:val="0"/>
            <w:vAlign w:val="center"/>
          </w:tcPr>
          <w:p>
            <w:pPr>
              <w:autoSpaceDN w:val="0"/>
              <w:spacing w:line="320" w:lineRule="exact"/>
              <w:jc w:val="center"/>
              <w:textAlignment w:val="center"/>
              <w:rPr>
                <w:rFonts w:hint="eastAsia" w:eastAsia="仿宋_GB2312" w:cs="仿宋_GB2312"/>
                <w:b/>
                <w:sz w:val="24"/>
              </w:rPr>
            </w:pPr>
            <w:r>
              <w:rPr>
                <w:rFonts w:hint="eastAsia" w:eastAsia="仿宋_GB2312" w:cs="仿宋_GB2312"/>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945"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7"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指标3：</w:t>
            </w:r>
          </w:p>
        </w:tc>
        <w:tc>
          <w:tcPr>
            <w:tcW w:w="1899" w:type="dxa"/>
            <w:gridSpan w:val="3"/>
            <w:tcBorders>
              <w:left w:val="single" w:color="auto" w:sz="4" w:space="0"/>
            </w:tcBorders>
            <w:noWrap w:val="0"/>
            <w:vAlign w:val="center"/>
          </w:tcPr>
          <w:p>
            <w:pPr>
              <w:pStyle w:val="4"/>
              <w:shd w:val="clear" w:color="auto" w:fill="FFFFFF"/>
              <w:spacing w:before="0" w:beforeAutospacing="0" w:after="0" w:afterAutospacing="0" w:line="450" w:lineRule="atLeast"/>
              <w:ind w:right="300"/>
              <w:jc w:val="both"/>
              <w:rPr>
                <w:rFonts w:hint="eastAsia" w:ascii="宋体" w:hAnsi="宋体" w:eastAsia="宋体" w:cs="宋体"/>
                <w:color w:val="222222"/>
                <w:sz w:val="22"/>
                <w:szCs w:val="22"/>
              </w:rPr>
            </w:pPr>
            <w:r>
              <w:rPr>
                <w:rFonts w:hint="eastAsia" w:ascii="宋体" w:hAnsi="宋体" w:eastAsia="宋体" w:cs="宋体"/>
                <w:color w:val="222222"/>
                <w:sz w:val="22"/>
                <w:szCs w:val="22"/>
              </w:rPr>
              <w:t>打造老干部活动平台，让老干部“老有所乐”，开展活动的频有规律。</w:t>
            </w:r>
          </w:p>
          <w:p>
            <w:pPr>
              <w:autoSpaceDN w:val="0"/>
              <w:spacing w:line="320" w:lineRule="exact"/>
              <w:jc w:val="left"/>
              <w:textAlignment w:val="center"/>
              <w:rPr>
                <w:rFonts w:hint="eastAsia" w:eastAsia="仿宋_GB2312" w:cs="仿宋_GB2312"/>
                <w:sz w:val="24"/>
                <w:szCs w:val="24"/>
              </w:rPr>
            </w:pPr>
          </w:p>
        </w:tc>
        <w:tc>
          <w:tcPr>
            <w:tcW w:w="2686" w:type="dxa"/>
            <w:gridSpan w:val="6"/>
            <w:noWrap w:val="0"/>
            <w:vAlign w:val="center"/>
          </w:tcPr>
          <w:p>
            <w:pPr>
              <w:autoSpaceDN w:val="0"/>
              <w:spacing w:line="320" w:lineRule="exact"/>
              <w:jc w:val="center"/>
              <w:textAlignment w:val="center"/>
              <w:rPr>
                <w:rFonts w:hint="eastAsia" w:eastAsia="仿宋_GB2312" w:cs="仿宋_GB2312"/>
                <w:b/>
                <w:sz w:val="24"/>
              </w:rPr>
            </w:pPr>
            <w:r>
              <w:rPr>
                <w:rFonts w:hint="eastAsia" w:eastAsia="仿宋_GB2312" w:cs="仿宋_GB2312"/>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945" w:type="dxa"/>
            <w:gridSpan w:val="2"/>
            <w:vMerge w:val="continue"/>
            <w:noWrap w:val="0"/>
            <w:vAlign w:val="center"/>
          </w:tcPr>
          <w:p>
            <w:pPr>
              <w:autoSpaceDN w:val="0"/>
              <w:spacing w:line="320" w:lineRule="exact"/>
              <w:jc w:val="center"/>
              <w:textAlignment w:val="center"/>
              <w:rPr>
                <w:rFonts w:hint="eastAsia" w:eastAsia="仿宋_GB2312" w:cs="仿宋_GB2312"/>
                <w:sz w:val="24"/>
              </w:rPr>
            </w:pPr>
          </w:p>
        </w:tc>
        <w:tc>
          <w:tcPr>
            <w:tcW w:w="817"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w:t>
            </w: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rPr>
            </w:pPr>
          </w:p>
        </w:tc>
        <w:tc>
          <w:tcPr>
            <w:tcW w:w="2686" w:type="dxa"/>
            <w:gridSpan w:val="6"/>
            <w:noWrap w:val="0"/>
            <w:vAlign w:val="center"/>
          </w:tcPr>
          <w:p>
            <w:pPr>
              <w:autoSpaceDN w:val="0"/>
              <w:spacing w:line="320" w:lineRule="exact"/>
              <w:jc w:val="center"/>
              <w:textAlignment w:val="center"/>
              <w:rPr>
                <w:rFonts w:hint="eastAsia"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0"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restart"/>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效益目标</w:t>
            </w:r>
          </w:p>
          <w:p>
            <w:pPr>
              <w:autoSpaceDN w:val="0"/>
              <w:spacing w:line="320" w:lineRule="exact"/>
              <w:jc w:val="center"/>
              <w:textAlignment w:val="center"/>
              <w:rPr>
                <w:rFonts w:hint="eastAsia" w:eastAsia="仿宋_GB2312" w:cs="仿宋_GB2312"/>
                <w:sz w:val="24"/>
              </w:rPr>
            </w:pPr>
            <w:r>
              <w:rPr>
                <w:rFonts w:hint="eastAsia" w:eastAsia="仿宋_GB2312" w:cs="仿宋_GB2312"/>
                <w:sz w:val="24"/>
              </w:rPr>
              <w:t>（预期实现的效益）</w:t>
            </w:r>
          </w:p>
        </w:tc>
        <w:tc>
          <w:tcPr>
            <w:tcW w:w="945"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社会、经济、生态效益</w:t>
            </w:r>
          </w:p>
        </w:tc>
        <w:tc>
          <w:tcPr>
            <w:tcW w:w="817" w:type="dxa"/>
            <w:tcBorders>
              <w:right w:val="single" w:color="auto" w:sz="4" w:space="0"/>
            </w:tcBorders>
            <w:noWrap w:val="0"/>
            <w:vAlign w:val="center"/>
          </w:tcPr>
          <w:p>
            <w:pPr>
              <w:autoSpaceDN w:val="0"/>
              <w:spacing w:line="320" w:lineRule="exact"/>
              <w:textAlignment w:val="center"/>
              <w:rPr>
                <w:rFonts w:hint="eastAsia" w:eastAsia="仿宋_GB2312" w:cs="仿宋_GB2312"/>
                <w:sz w:val="24"/>
              </w:rPr>
            </w:pPr>
            <w:r>
              <w:rPr>
                <w:rFonts w:hint="eastAsia" w:eastAsia="仿宋_GB2312" w:cs="仿宋_GB2312"/>
                <w:sz w:val="24"/>
              </w:rPr>
              <w:t>指标1：</w:t>
            </w:r>
          </w:p>
          <w:p>
            <w:pPr>
              <w:autoSpaceDN w:val="0"/>
              <w:spacing w:line="320" w:lineRule="exact"/>
              <w:textAlignment w:val="center"/>
              <w:rPr>
                <w:rFonts w:hint="eastAsia" w:eastAsia="仿宋_GB2312" w:cs="仿宋_GB2312"/>
                <w:sz w:val="24"/>
              </w:rPr>
            </w:pPr>
          </w:p>
        </w:tc>
        <w:tc>
          <w:tcPr>
            <w:tcW w:w="1899" w:type="dxa"/>
            <w:gridSpan w:val="3"/>
            <w:tcBorders>
              <w:left w:val="single" w:color="auto" w:sz="4" w:space="0"/>
            </w:tcBorders>
            <w:noWrap w:val="0"/>
            <w:vAlign w:val="center"/>
          </w:tcPr>
          <w:p>
            <w:pPr>
              <w:pStyle w:val="4"/>
              <w:numPr>
                <w:ilvl w:val="0"/>
                <w:numId w:val="0"/>
              </w:numPr>
              <w:shd w:val="clear" w:color="auto" w:fill="FFFFFF"/>
              <w:spacing w:before="0" w:beforeAutospacing="0" w:after="0" w:afterAutospacing="0" w:line="450" w:lineRule="atLeast"/>
              <w:ind w:right="300" w:rightChars="0"/>
              <w:jc w:val="both"/>
              <w:rPr>
                <w:rFonts w:hint="eastAsia" w:cs="宋体"/>
                <w:color w:val="222222"/>
                <w:sz w:val="22"/>
                <w:szCs w:val="22"/>
                <w:lang w:eastAsia="zh-CN"/>
              </w:rPr>
            </w:pPr>
            <w:r>
              <w:rPr>
                <w:rFonts w:hint="eastAsia" w:cs="宋体"/>
                <w:color w:val="222222"/>
                <w:sz w:val="22"/>
                <w:szCs w:val="22"/>
                <w:lang w:eastAsia="zh-CN"/>
              </w:rPr>
              <w:t>创新探索老干工作新方法卓有成效，在已有的工作方法和基础上，积极创新探索微信、腾讯会议等新的老干工作方式方法，如利用微信组织老干们学习民法典专题报告会、十九大精神专题会议，“三湘</w:t>
            </w:r>
            <w:r>
              <w:rPr>
                <w:rFonts w:hint="eastAsia" w:cs="宋体"/>
                <w:color w:val="222222"/>
                <w:sz w:val="22"/>
                <w:szCs w:val="22"/>
                <w:lang w:val="en-US" w:eastAsia="zh-CN"/>
              </w:rPr>
              <w:t>e家</w:t>
            </w:r>
            <w:r>
              <w:rPr>
                <w:rFonts w:hint="eastAsia" w:cs="宋体"/>
                <w:color w:val="222222"/>
                <w:sz w:val="22"/>
                <w:szCs w:val="22"/>
                <w:lang w:eastAsia="zh-CN"/>
              </w:rPr>
              <w:t>”等，利用微信发布疫情防控通知、注意事项等，疫情期间不方便看望慰问住院老干，通过微信视频看望慰问住院老干，为减少老干不必要的来局办事，很多可以通过网络处理的事项，我们尽量利用网络处理，大大提高了工作效率，加强了与老干们联系的深度、广度和密切度，让老干们切实感受到我局老干工作者时刻在他们身边，创造了“有呼必应，有求必到，方便快捷”的老干工作局面。</w:t>
            </w:r>
          </w:p>
          <w:p>
            <w:pPr>
              <w:autoSpaceDN w:val="0"/>
              <w:spacing w:line="320" w:lineRule="exact"/>
              <w:ind w:left="360"/>
              <w:textAlignment w:val="center"/>
              <w:rPr>
                <w:rFonts w:hint="eastAsia" w:eastAsia="仿宋_GB2312" w:cs="仿宋_GB2312"/>
                <w:sz w:val="24"/>
              </w:rPr>
            </w:pPr>
          </w:p>
        </w:tc>
        <w:tc>
          <w:tcPr>
            <w:tcW w:w="2686" w:type="dxa"/>
            <w:gridSpan w:val="6"/>
            <w:noWrap w:val="0"/>
            <w:vAlign w:val="center"/>
          </w:tcPr>
          <w:p>
            <w:pPr>
              <w:autoSpaceDN w:val="0"/>
              <w:spacing w:line="320" w:lineRule="exact"/>
              <w:jc w:val="center"/>
              <w:textAlignment w:val="center"/>
              <w:rPr>
                <w:rFonts w:hint="eastAsia" w:eastAsia="仿宋_GB2312" w:cs="仿宋_GB2312"/>
                <w:b/>
                <w:sz w:val="24"/>
              </w:rPr>
            </w:pPr>
            <w:r>
              <w:rPr>
                <w:rFonts w:hint="eastAsia" w:eastAsia="仿宋_GB2312" w:cs="仿宋_GB2312"/>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95" w:hRule="atLeast"/>
          <w:jc w:val="center"/>
        </w:trPr>
        <w:tc>
          <w:tcPr>
            <w:tcW w:w="1440" w:type="dxa"/>
            <w:vMerge w:val="continue"/>
            <w:noWrap w:val="0"/>
            <w:vAlign w:val="center"/>
          </w:tcPr>
          <w:p>
            <w:pPr>
              <w:spacing w:line="320" w:lineRule="exact"/>
              <w:rPr>
                <w:rFonts w:hint="eastAsia" w:eastAsia="仿宋_GB2312" w:cs="仿宋_GB2312"/>
                <w:sz w:val="24"/>
              </w:rPr>
            </w:pPr>
          </w:p>
        </w:tc>
        <w:tc>
          <w:tcPr>
            <w:tcW w:w="2013" w:type="dxa"/>
            <w:gridSpan w:val="4"/>
            <w:vMerge w:val="continue"/>
            <w:noWrap w:val="0"/>
            <w:vAlign w:val="center"/>
          </w:tcPr>
          <w:p>
            <w:pPr>
              <w:autoSpaceDN w:val="0"/>
              <w:spacing w:line="320" w:lineRule="exact"/>
              <w:rPr>
                <w:rFonts w:hint="eastAsia" w:eastAsia="仿宋_GB2312" w:cs="仿宋_GB2312"/>
                <w:sz w:val="24"/>
              </w:rPr>
            </w:pPr>
          </w:p>
        </w:tc>
        <w:tc>
          <w:tcPr>
            <w:tcW w:w="945"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社会公众或服务对象满意度</w:t>
            </w:r>
          </w:p>
        </w:tc>
        <w:tc>
          <w:tcPr>
            <w:tcW w:w="817" w:type="dxa"/>
            <w:tcBorders>
              <w:right w:val="single" w:color="auto" w:sz="4" w:space="0"/>
            </w:tcBorders>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指标1：</w:t>
            </w:r>
          </w:p>
          <w:p>
            <w:pPr>
              <w:autoSpaceDN w:val="0"/>
              <w:spacing w:line="320" w:lineRule="exact"/>
              <w:jc w:val="left"/>
              <w:textAlignment w:val="center"/>
              <w:rPr>
                <w:rFonts w:hint="eastAsia" w:eastAsia="仿宋_GB2312" w:cs="仿宋_GB2312"/>
                <w:sz w:val="24"/>
              </w:rPr>
            </w:pPr>
          </w:p>
        </w:tc>
        <w:tc>
          <w:tcPr>
            <w:tcW w:w="1899" w:type="dxa"/>
            <w:gridSpan w:val="3"/>
            <w:tcBorders>
              <w:left w:val="single" w:color="auto" w:sz="4" w:space="0"/>
            </w:tcBorders>
            <w:noWrap w:val="0"/>
            <w:vAlign w:val="center"/>
          </w:tcPr>
          <w:p>
            <w:pPr>
              <w:autoSpaceDN w:val="0"/>
              <w:spacing w:line="320" w:lineRule="exact"/>
              <w:jc w:val="left"/>
              <w:textAlignment w:val="center"/>
              <w:rPr>
                <w:rFonts w:hint="eastAsia" w:eastAsia="仿宋_GB2312" w:cs="仿宋_GB2312"/>
                <w:sz w:val="24"/>
                <w:szCs w:val="24"/>
              </w:rPr>
            </w:pPr>
            <w:r>
              <w:rPr>
                <w:rFonts w:hint="eastAsia" w:ascii="仿宋" w:hAnsi="仿宋" w:eastAsia="仿宋" w:cs="仿宋_GB2312"/>
                <w:sz w:val="24"/>
                <w:szCs w:val="24"/>
              </w:rPr>
              <w:t>通过向社会群众、相关单位（服务对象）各部门内部员工发放问卷调查</w:t>
            </w:r>
          </w:p>
        </w:tc>
        <w:tc>
          <w:tcPr>
            <w:tcW w:w="2686" w:type="dxa"/>
            <w:gridSpan w:val="6"/>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42" w:hRule="atLeast"/>
          <w:jc w:val="center"/>
        </w:trPr>
        <w:tc>
          <w:tcPr>
            <w:tcW w:w="3453" w:type="dxa"/>
            <w:gridSpan w:val="5"/>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绩效自评综合得分及评价等次</w:t>
            </w:r>
          </w:p>
        </w:tc>
        <w:tc>
          <w:tcPr>
            <w:tcW w:w="6347" w:type="dxa"/>
            <w:gridSpan w:val="12"/>
            <w:noWrap w:val="0"/>
            <w:vAlign w:val="center"/>
          </w:tcPr>
          <w:p>
            <w:pPr>
              <w:spacing w:line="320" w:lineRule="exact"/>
              <w:ind w:firstLine="630" w:firstLineChars="300"/>
              <w:rPr>
                <w:rFonts w:hint="eastAsia" w:eastAsia="楷体_GB2312"/>
              </w:rPr>
            </w:pPr>
            <w:r>
              <w:rPr>
                <w:rFonts w:hint="eastAsia" w:eastAsia="楷体_GB2312"/>
              </w:rPr>
              <w:t>评分：                            等级：</w:t>
            </w:r>
          </w:p>
          <w:p>
            <w:pPr>
              <w:autoSpaceDN w:val="0"/>
              <w:spacing w:line="320" w:lineRule="exact"/>
              <w:jc w:val="left"/>
              <w:textAlignment w:val="center"/>
              <w:rPr>
                <w:rFonts w:hint="eastAsia" w:ascii="TimesNewRoman" w:hAnsi="TimesNewRoman"/>
                <w:szCs w:val="21"/>
              </w:rPr>
            </w:pPr>
          </w:p>
          <w:p>
            <w:pPr>
              <w:autoSpaceDN w:val="0"/>
              <w:spacing w:line="320" w:lineRule="exact"/>
              <w:jc w:val="left"/>
              <w:textAlignment w:val="center"/>
              <w:rPr>
                <w:rFonts w:hint="eastAsia" w:eastAsia="仿宋_GB2312" w:cs="仿宋_GB2312"/>
                <w:sz w:val="24"/>
              </w:rPr>
            </w:pPr>
            <w:r>
              <w:rPr>
                <w:rFonts w:hint="eastAsia" w:ascii="TimesNewRoman" w:hAnsi="TimesNewRoman"/>
                <w:szCs w:val="21"/>
              </w:rPr>
              <w:t>备注：</w:t>
            </w:r>
            <w:r>
              <w:rPr>
                <w:rFonts w:ascii="TimesNewRoman" w:hAnsi="TimesNewRoman"/>
                <w:szCs w:val="21"/>
              </w:rPr>
              <w:t>90</w:t>
            </w:r>
            <w:r>
              <w:rPr>
                <w:rFonts w:hint="eastAsia" w:ascii="仿宋_GB2312" w:eastAsia="仿宋_GB2312"/>
                <w:szCs w:val="21"/>
              </w:rPr>
              <w:t>（含）—</w:t>
            </w:r>
            <w:r>
              <w:rPr>
                <w:rFonts w:ascii="TimesNewRoman" w:hAnsi="TimesNewRoman"/>
                <w:szCs w:val="21"/>
              </w:rPr>
              <w:t>100</w:t>
            </w:r>
            <w:r>
              <w:rPr>
                <w:rFonts w:hint="eastAsia" w:ascii="仿宋_GB2312" w:eastAsia="仿宋_GB2312"/>
                <w:szCs w:val="21"/>
              </w:rPr>
              <w:t>分为优；</w:t>
            </w:r>
            <w:r>
              <w:rPr>
                <w:rFonts w:ascii="TimesNewRoman" w:hAnsi="TimesNewRoman"/>
                <w:szCs w:val="21"/>
              </w:rPr>
              <w:t>80</w:t>
            </w:r>
            <w:r>
              <w:rPr>
                <w:rFonts w:hint="eastAsia" w:ascii="仿宋_GB2312" w:eastAsia="仿宋_GB2312"/>
                <w:szCs w:val="21"/>
              </w:rPr>
              <w:t>（含）—</w:t>
            </w:r>
            <w:r>
              <w:rPr>
                <w:rFonts w:ascii="TimesNewRoman" w:hAnsi="TimesNewRoman"/>
                <w:szCs w:val="21"/>
              </w:rPr>
              <w:t>90</w:t>
            </w:r>
            <w:r>
              <w:rPr>
                <w:rFonts w:hint="eastAsia" w:ascii="仿宋_GB2312" w:eastAsia="仿宋_GB2312"/>
                <w:szCs w:val="21"/>
              </w:rPr>
              <w:t>分为良；</w:t>
            </w:r>
            <w:r>
              <w:rPr>
                <w:rFonts w:ascii="TimesNewRoman" w:hAnsi="TimesNewRoman"/>
                <w:szCs w:val="21"/>
              </w:rPr>
              <w:t xml:space="preserve"> 60</w:t>
            </w:r>
            <w:r>
              <w:rPr>
                <w:rFonts w:hint="eastAsia" w:ascii="仿宋_GB2312" w:eastAsia="仿宋_GB2312"/>
                <w:szCs w:val="21"/>
              </w:rPr>
              <w:t>（含）—</w:t>
            </w:r>
            <w:r>
              <w:rPr>
                <w:rFonts w:ascii="TimesNewRoman" w:hAnsi="TimesNewRoman"/>
                <w:szCs w:val="21"/>
              </w:rPr>
              <w:t>80</w:t>
            </w:r>
            <w:r>
              <w:rPr>
                <w:rFonts w:hint="eastAsia" w:ascii="仿宋_GB2312" w:eastAsia="仿宋_GB2312"/>
                <w:szCs w:val="21"/>
              </w:rPr>
              <w:t xml:space="preserve"> 分为较差；</w:t>
            </w:r>
            <w:r>
              <w:rPr>
                <w:rFonts w:ascii="TimesNewRoman" w:hAnsi="TimesNewRoman"/>
                <w:szCs w:val="21"/>
              </w:rPr>
              <w:t>60</w:t>
            </w:r>
            <w:r>
              <w:rPr>
                <w:rFonts w:hint="eastAsia" w:ascii="仿宋_GB2312" w:eastAsia="仿宋_GB2312"/>
                <w:szCs w:val="21"/>
              </w:rPr>
              <w:t>分以下为差。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eastAsia="仿宋_GB2312" w:cs="仿宋_GB2312"/>
                <w:sz w:val="24"/>
              </w:rPr>
            </w:pPr>
            <w:r>
              <w:rPr>
                <w:rFonts w:hint="eastAsia"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姓  名</w:t>
            </w:r>
          </w:p>
        </w:tc>
        <w:tc>
          <w:tcPr>
            <w:tcW w:w="3563" w:type="dxa"/>
            <w:gridSpan w:val="6"/>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职务/职称</w:t>
            </w:r>
          </w:p>
        </w:tc>
        <w:tc>
          <w:tcPr>
            <w:tcW w:w="1479" w:type="dxa"/>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单  位</w:t>
            </w:r>
          </w:p>
        </w:tc>
        <w:tc>
          <w:tcPr>
            <w:tcW w:w="3106" w:type="dxa"/>
            <w:gridSpan w:val="8"/>
            <w:noWrap w:val="0"/>
            <w:vAlign w:val="center"/>
          </w:tcPr>
          <w:p>
            <w:pPr>
              <w:autoSpaceDN w:val="0"/>
              <w:spacing w:line="320" w:lineRule="exact"/>
              <w:jc w:val="center"/>
              <w:textAlignment w:val="center"/>
              <w:rPr>
                <w:rFonts w:hint="eastAsia" w:eastAsia="仿宋_GB2312" w:cs="仿宋_GB2312"/>
                <w:sz w:val="24"/>
              </w:rPr>
            </w:pPr>
            <w:r>
              <w:rPr>
                <w:rFonts w:hint="eastAsia" w:eastAsia="仿宋_GB2312" w:cs="仿宋_GB2312"/>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p>
        </w:tc>
        <w:tc>
          <w:tcPr>
            <w:tcW w:w="3563" w:type="dxa"/>
            <w:gridSpan w:val="6"/>
            <w:noWrap w:val="0"/>
            <w:vAlign w:val="center"/>
          </w:tcPr>
          <w:p>
            <w:pPr>
              <w:autoSpaceDN w:val="0"/>
              <w:spacing w:line="320" w:lineRule="exact"/>
              <w:jc w:val="center"/>
              <w:textAlignment w:val="center"/>
              <w:rPr>
                <w:rFonts w:hint="eastAsia" w:eastAsia="仿宋_GB2312" w:cs="仿宋_GB2312"/>
                <w:sz w:val="24"/>
              </w:rPr>
            </w:pPr>
          </w:p>
        </w:tc>
        <w:tc>
          <w:tcPr>
            <w:tcW w:w="1479" w:type="dxa"/>
            <w:noWrap w:val="0"/>
            <w:vAlign w:val="center"/>
          </w:tcPr>
          <w:p>
            <w:pPr>
              <w:autoSpaceDN w:val="0"/>
              <w:spacing w:line="320" w:lineRule="exact"/>
              <w:jc w:val="center"/>
              <w:textAlignment w:val="center"/>
              <w:rPr>
                <w:rFonts w:hint="eastAsia" w:eastAsia="仿宋_GB2312" w:cs="仿宋_GB2312"/>
                <w:sz w:val="24"/>
              </w:rPr>
            </w:pPr>
          </w:p>
        </w:tc>
        <w:tc>
          <w:tcPr>
            <w:tcW w:w="3106" w:type="dxa"/>
            <w:gridSpan w:val="8"/>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2" w:type="dxa"/>
            <w:gridSpan w:val="2"/>
            <w:noWrap w:val="0"/>
            <w:vAlign w:val="center"/>
          </w:tcPr>
          <w:p>
            <w:pPr>
              <w:autoSpaceDN w:val="0"/>
              <w:spacing w:line="320" w:lineRule="exact"/>
              <w:jc w:val="center"/>
              <w:textAlignment w:val="center"/>
              <w:rPr>
                <w:rFonts w:hint="eastAsia" w:eastAsia="仿宋_GB2312" w:cs="仿宋_GB2312"/>
                <w:sz w:val="24"/>
              </w:rPr>
            </w:pPr>
          </w:p>
        </w:tc>
        <w:tc>
          <w:tcPr>
            <w:tcW w:w="3563" w:type="dxa"/>
            <w:gridSpan w:val="6"/>
            <w:noWrap w:val="0"/>
            <w:vAlign w:val="center"/>
          </w:tcPr>
          <w:p>
            <w:pPr>
              <w:autoSpaceDN w:val="0"/>
              <w:spacing w:line="320" w:lineRule="exact"/>
              <w:jc w:val="center"/>
              <w:textAlignment w:val="center"/>
              <w:rPr>
                <w:rFonts w:hint="eastAsia" w:eastAsia="仿宋_GB2312" w:cs="仿宋_GB2312"/>
                <w:sz w:val="24"/>
              </w:rPr>
            </w:pPr>
          </w:p>
        </w:tc>
        <w:tc>
          <w:tcPr>
            <w:tcW w:w="1479" w:type="dxa"/>
            <w:noWrap w:val="0"/>
            <w:vAlign w:val="center"/>
          </w:tcPr>
          <w:p>
            <w:pPr>
              <w:autoSpaceDN w:val="0"/>
              <w:spacing w:line="320" w:lineRule="exact"/>
              <w:jc w:val="center"/>
              <w:textAlignment w:val="center"/>
              <w:rPr>
                <w:rFonts w:hint="eastAsia" w:eastAsia="仿宋_GB2312" w:cs="仿宋_GB2312"/>
                <w:sz w:val="24"/>
              </w:rPr>
            </w:pPr>
          </w:p>
        </w:tc>
        <w:tc>
          <w:tcPr>
            <w:tcW w:w="3106" w:type="dxa"/>
            <w:gridSpan w:val="8"/>
            <w:noWrap w:val="0"/>
            <w:vAlign w:val="center"/>
          </w:tcPr>
          <w:p>
            <w:pPr>
              <w:autoSpaceDN w:val="0"/>
              <w:spacing w:line="320" w:lineRule="exact"/>
              <w:jc w:val="center"/>
              <w:textAlignment w:val="center"/>
              <w:rPr>
                <w:rFonts w:hint="eastAsia"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82" w:hRule="atLeast"/>
          <w:jc w:val="center"/>
        </w:trPr>
        <w:tc>
          <w:tcPr>
            <w:tcW w:w="9800" w:type="dxa"/>
            <w:gridSpan w:val="17"/>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评价组组长签署意见：</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ind w:firstLine="5760" w:firstLineChars="2400"/>
              <w:jc w:val="left"/>
              <w:textAlignment w:val="center"/>
              <w:rPr>
                <w:rFonts w:hint="eastAsia" w:eastAsia="仿宋_GB2312" w:cs="仿宋_GB2312"/>
                <w:sz w:val="24"/>
              </w:rPr>
            </w:pPr>
            <w:r>
              <w:rPr>
                <w:rFonts w:hint="eastAsia" w:eastAsia="仿宋_GB2312" w:cs="仿宋_GB2312"/>
                <w:sz w:val="24"/>
              </w:rPr>
              <w:t>评价组组长（签字）：</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eastAsia="仿宋_GB2312" w:cs="仿宋_GB2312"/>
                <w:sz w:val="24"/>
              </w:rPr>
            </w:pPr>
            <w:r>
              <w:rPr>
                <w:rFonts w:hint="eastAsia" w:eastAsia="仿宋_GB2312" w:cs="仿宋_GB2312"/>
                <w:sz w:val="24"/>
              </w:rPr>
              <w:t>部门（单位）意见：</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部门（单位）负责人（签字）：                部门（单位）（盖章）：</w:t>
            </w:r>
          </w:p>
          <w:p>
            <w:pPr>
              <w:autoSpaceDN w:val="0"/>
              <w:spacing w:line="320" w:lineRule="exact"/>
              <w:jc w:val="left"/>
              <w:textAlignment w:val="center"/>
              <w:rPr>
                <w:rFonts w:hint="eastAsia" w:eastAsia="仿宋_GB2312" w:cs="仿宋_GB2312"/>
                <w:sz w:val="24"/>
              </w:rPr>
            </w:pPr>
          </w:p>
          <w:p>
            <w:pPr>
              <w:autoSpaceDN w:val="0"/>
              <w:spacing w:line="320" w:lineRule="exact"/>
              <w:jc w:val="left"/>
              <w:textAlignment w:val="center"/>
              <w:rPr>
                <w:rFonts w:hint="eastAsia" w:eastAsia="仿宋_GB2312" w:cs="仿宋_GB2312"/>
                <w:sz w:val="24"/>
              </w:rPr>
            </w:pPr>
            <w:r>
              <w:rPr>
                <w:rFonts w:hint="eastAsia" w:eastAsia="仿宋_GB2312" w:cs="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财政部门归口业务科室负责人（签字）：         财政部门归口业务科室（盖章）：</w:t>
            </w:r>
          </w:p>
          <w:p>
            <w:pPr>
              <w:autoSpaceDN w:val="0"/>
              <w:spacing w:line="320" w:lineRule="exact"/>
              <w:jc w:val="left"/>
              <w:textAlignment w:val="center"/>
              <w:rPr>
                <w:rFonts w:hint="eastAsia" w:eastAsia="仿宋_GB2312"/>
                <w:sz w:val="24"/>
              </w:rPr>
            </w:pPr>
            <w:r>
              <w:rPr>
                <w:rFonts w:hint="eastAsia" w:eastAsia="仿宋_GB2312"/>
                <w:sz w:val="24"/>
              </w:rPr>
              <w:t xml:space="preserve">                                                                 </w:t>
            </w:r>
          </w:p>
          <w:p>
            <w:pPr>
              <w:autoSpaceDN w:val="0"/>
              <w:spacing w:line="320" w:lineRule="exact"/>
              <w:ind w:firstLine="7680" w:firstLineChars="3200"/>
              <w:jc w:val="left"/>
              <w:textAlignment w:val="center"/>
              <w:rPr>
                <w:rFonts w:hint="eastAsia" w:eastAsia="仿宋_GB2312" w:cs="仿宋_GB2312"/>
                <w:sz w:val="24"/>
              </w:rPr>
            </w:pPr>
            <w:r>
              <w:rPr>
                <w:rFonts w:hint="eastAsia" w:eastAsia="仿宋_GB2312"/>
                <w:sz w:val="24"/>
              </w:rPr>
              <w:t>年    月   日</w:t>
            </w:r>
          </w:p>
        </w:tc>
      </w:tr>
    </w:tbl>
    <w:tbl>
      <w:tblPr>
        <w:tblStyle w:val="6"/>
        <w:tblpPr w:leftFromText="180" w:rightFromText="180" w:vertAnchor="text" w:tblpX="10483" w:tblpY="-327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46" w:type="dxa"/>
            <w:noWrap w:val="0"/>
            <w:vAlign w:val="top"/>
          </w:tcPr>
          <w:p>
            <w:pPr>
              <w:spacing w:line="560" w:lineRule="exact"/>
              <w:jc w:val="center"/>
              <w:rPr>
                <w:rFonts w:hint="eastAsia" w:eastAsia="方正小标宋_GBK"/>
                <w:sz w:val="36"/>
                <w:szCs w:val="36"/>
              </w:rPr>
            </w:pPr>
          </w:p>
        </w:tc>
      </w:tr>
    </w:tbl>
    <w:p>
      <w:pPr>
        <w:spacing w:line="560" w:lineRule="exact"/>
        <w:jc w:val="center"/>
        <w:rPr>
          <w:rFonts w:hint="eastAsia" w:eastAsia="方正小标宋_GBK"/>
          <w:sz w:val="36"/>
          <w:szCs w:val="36"/>
        </w:rPr>
      </w:pPr>
    </w:p>
    <w:p>
      <w:pPr>
        <w:spacing w:line="560" w:lineRule="exact"/>
        <w:jc w:val="center"/>
        <w:rPr>
          <w:rFonts w:hint="eastAsia" w:eastAsia="方正小标宋_GBK"/>
          <w:sz w:val="36"/>
          <w:szCs w:val="36"/>
        </w:rPr>
      </w:pPr>
    </w:p>
    <w:p>
      <w:pPr>
        <w:spacing w:line="560" w:lineRule="exact"/>
        <w:jc w:val="center"/>
        <w:rPr>
          <w:rFonts w:hint="eastAsia" w:eastAsia="方正小标宋_GBK"/>
          <w:sz w:val="36"/>
          <w:szCs w:val="36"/>
        </w:rPr>
      </w:pPr>
    </w:p>
    <w:p>
      <w:pPr>
        <w:spacing w:line="560" w:lineRule="exact"/>
        <w:jc w:val="center"/>
        <w:rPr>
          <w:rFonts w:hint="eastAsia" w:eastAsia="方正小标宋_GBK"/>
          <w:sz w:val="36"/>
          <w:szCs w:val="36"/>
        </w:rPr>
      </w:pPr>
    </w:p>
    <w:p>
      <w:pPr>
        <w:spacing w:line="578" w:lineRule="atLeast"/>
        <w:ind w:firstLine="1760" w:firstLineChars="400"/>
        <w:rPr>
          <w:rFonts w:hint="eastAsia" w:eastAsia="方正小标宋简体" w:cs="Arial"/>
          <w:bCs/>
          <w:sz w:val="44"/>
          <w:szCs w:val="44"/>
        </w:rPr>
      </w:pPr>
      <w:r>
        <w:rPr>
          <w:rFonts w:hint="eastAsia" w:eastAsia="方正小标宋简体" w:cs="Arial"/>
          <w:bCs/>
          <w:sz w:val="44"/>
          <w:szCs w:val="44"/>
        </w:rPr>
        <w:t>部门整体支出绩效评价报告</w:t>
      </w:r>
    </w:p>
    <w:p>
      <w:pPr>
        <w:spacing w:line="600" w:lineRule="exact"/>
        <w:jc w:val="center"/>
        <w:rPr>
          <w:rFonts w:eastAsia="楷体_GB2312"/>
          <w:sz w:val="32"/>
          <w:szCs w:val="32"/>
        </w:rPr>
      </w:pPr>
    </w:p>
    <w:p>
      <w:pPr>
        <w:spacing w:line="600" w:lineRule="exact"/>
        <w:jc w:val="center"/>
        <w:rPr>
          <w:rFonts w:eastAsia="楷体_GB2312"/>
          <w:sz w:val="32"/>
          <w:szCs w:val="32"/>
        </w:rPr>
      </w:pPr>
    </w:p>
    <w:p>
      <w:pPr>
        <w:pStyle w:val="10"/>
        <w:keepNext w:val="0"/>
        <w:keepLines w:val="0"/>
        <w:widowControl w:val="0"/>
        <w:shd w:val="clear" w:color="auto" w:fill="auto"/>
        <w:bidi w:val="0"/>
        <w:spacing w:before="0"/>
        <w:ind w:left="0" w:right="0" w:firstLine="0"/>
        <w:jc w:val="left"/>
      </w:pPr>
      <w:r>
        <w:rPr>
          <w:rFonts w:hint="eastAsia"/>
          <w:color w:val="000000"/>
          <w:lang w:val="en-US" w:eastAsia="zh-CN"/>
        </w:rPr>
        <w:t xml:space="preserve">   </w:t>
      </w:r>
      <w:r>
        <w:rPr>
          <w:rFonts w:hint="eastAsia"/>
          <w:color w:val="000000"/>
          <w:sz w:val="28"/>
          <w:szCs w:val="28"/>
        </w:rPr>
        <w:t>根据州编办《关于</w:t>
      </w:r>
      <w:r>
        <w:rPr>
          <w:rFonts w:hint="eastAsia"/>
          <w:color w:val="000000"/>
          <w:sz w:val="28"/>
          <w:szCs w:val="28"/>
          <w:lang w:eastAsia="zh-CN"/>
        </w:rPr>
        <w:t>设立</w:t>
      </w:r>
      <w:r>
        <w:rPr>
          <w:rFonts w:hint="eastAsia"/>
          <w:color w:val="000000"/>
          <w:sz w:val="28"/>
          <w:szCs w:val="28"/>
        </w:rPr>
        <w:t>州</w:t>
      </w:r>
      <w:r>
        <w:rPr>
          <w:rFonts w:hint="eastAsia"/>
          <w:color w:val="000000"/>
          <w:sz w:val="28"/>
          <w:szCs w:val="28"/>
          <w:lang w:eastAsia="zh-CN"/>
        </w:rPr>
        <w:t>商务局机关老干服务中心等事项的批复</w:t>
      </w:r>
      <w:r>
        <w:rPr>
          <w:rFonts w:hint="eastAsia"/>
          <w:color w:val="000000"/>
          <w:sz w:val="28"/>
          <w:szCs w:val="28"/>
        </w:rPr>
        <w:t>》(州编办发〔201</w:t>
      </w:r>
      <w:r>
        <w:rPr>
          <w:rFonts w:hint="eastAsia"/>
          <w:color w:val="000000"/>
          <w:sz w:val="28"/>
          <w:szCs w:val="28"/>
          <w:lang w:val="en-US" w:eastAsia="zh-CN"/>
        </w:rPr>
        <w:t>2</w:t>
      </w:r>
      <w:r>
        <w:rPr>
          <w:rFonts w:hint="eastAsia"/>
          <w:color w:val="000000"/>
          <w:sz w:val="28"/>
          <w:szCs w:val="28"/>
        </w:rPr>
        <w:t>〕</w:t>
      </w:r>
      <w:r>
        <w:rPr>
          <w:rFonts w:hint="eastAsia"/>
          <w:color w:val="000000"/>
          <w:sz w:val="28"/>
          <w:szCs w:val="28"/>
          <w:lang w:val="en-US" w:eastAsia="zh-CN"/>
        </w:rPr>
        <w:t>53</w:t>
      </w:r>
      <w:r>
        <w:rPr>
          <w:rFonts w:hint="eastAsia"/>
          <w:color w:val="000000"/>
          <w:sz w:val="28"/>
          <w:szCs w:val="28"/>
        </w:rPr>
        <w:t>号)</w:t>
      </w:r>
      <w:r>
        <w:rPr>
          <w:rFonts w:hint="eastAsia"/>
          <w:color w:val="000000"/>
          <w:sz w:val="28"/>
          <w:szCs w:val="28"/>
          <w:lang w:eastAsia="zh-CN"/>
        </w:rPr>
        <w:t>、</w:t>
      </w:r>
      <w:r>
        <w:rPr>
          <w:rFonts w:hint="eastAsia"/>
          <w:color w:val="000000"/>
          <w:sz w:val="28"/>
          <w:szCs w:val="28"/>
        </w:rPr>
        <w:t>(州编办发〔201</w:t>
      </w:r>
      <w:r>
        <w:rPr>
          <w:rFonts w:hint="eastAsia"/>
          <w:color w:val="000000"/>
          <w:sz w:val="28"/>
          <w:szCs w:val="28"/>
          <w:lang w:val="en-US" w:eastAsia="zh-CN"/>
        </w:rPr>
        <w:t>4</w:t>
      </w:r>
      <w:r>
        <w:rPr>
          <w:rFonts w:hint="eastAsia"/>
          <w:color w:val="000000"/>
          <w:sz w:val="28"/>
          <w:szCs w:val="28"/>
        </w:rPr>
        <w:t>〕</w:t>
      </w:r>
      <w:r>
        <w:rPr>
          <w:rFonts w:hint="eastAsia"/>
          <w:color w:val="000000"/>
          <w:sz w:val="28"/>
          <w:szCs w:val="28"/>
          <w:lang w:val="en-US" w:eastAsia="zh-CN"/>
        </w:rPr>
        <w:t>32</w:t>
      </w:r>
      <w:r>
        <w:rPr>
          <w:rFonts w:hint="eastAsia"/>
          <w:color w:val="000000"/>
          <w:sz w:val="28"/>
          <w:szCs w:val="28"/>
        </w:rPr>
        <w:t>号)文件精神,州</w:t>
      </w:r>
      <w:r>
        <w:rPr>
          <w:rFonts w:hint="eastAsia"/>
          <w:color w:val="000000"/>
          <w:sz w:val="28"/>
          <w:szCs w:val="28"/>
          <w:lang w:eastAsia="zh-CN"/>
        </w:rPr>
        <w:t>商务局机关老干服务中心为正科级全额拨款事业机构，核定切边全额拨款事业编制</w:t>
      </w:r>
      <w:r>
        <w:rPr>
          <w:rFonts w:hint="eastAsia"/>
          <w:color w:val="000000"/>
          <w:sz w:val="28"/>
          <w:szCs w:val="28"/>
          <w:lang w:val="en-US" w:eastAsia="zh-CN"/>
        </w:rPr>
        <w:t>5人，配主任1名，副主任2名，隶属州商务局管理。</w:t>
      </w:r>
    </w:p>
    <w:p>
      <w:pPr>
        <w:pStyle w:val="11"/>
        <w:keepNext/>
        <w:keepLines/>
        <w:spacing w:line="575" w:lineRule="exact"/>
        <w:ind w:firstLine="580"/>
        <w:jc w:val="left"/>
      </w:pPr>
      <w:bookmarkStart w:id="0" w:name="bookmark11"/>
      <w:bookmarkStart w:id="1" w:name="bookmark9"/>
      <w:bookmarkStart w:id="2" w:name="bookmark10"/>
      <w:r>
        <w:rPr>
          <w:color w:val="000000"/>
          <w:lang w:val="en-US" w:eastAsia="en-US" w:bidi="en-US"/>
        </w:rPr>
        <w:t>—</w:t>
      </w:r>
      <w:r>
        <w:rPr>
          <w:color w:val="000000"/>
        </w:rPr>
        <w:t>、主要职责</w:t>
      </w:r>
      <w:bookmarkEnd w:id="0"/>
      <w:bookmarkEnd w:id="1"/>
      <w:bookmarkEnd w:id="2"/>
    </w:p>
    <w:p>
      <w:pPr>
        <w:pStyle w:val="9"/>
        <w:tabs>
          <w:tab w:val="left" w:pos="1365"/>
        </w:tabs>
        <w:spacing w:line="575" w:lineRule="exact"/>
        <w:ind w:firstLine="620"/>
      </w:pPr>
      <w:bookmarkStart w:id="3" w:name="bookmark16"/>
      <w:r>
        <w:rPr>
          <w:color w:val="000000"/>
        </w:rPr>
        <w:t>（一）</w:t>
      </w:r>
      <w:r>
        <w:rPr>
          <w:rFonts w:hint="eastAsia"/>
          <w:color w:val="000000"/>
          <w:lang w:eastAsia="zh-CN"/>
        </w:rPr>
        <w:t>负责贯彻执行离退休老干部工作的方针、政策、规定，并制定具体实施办法。</w:t>
      </w:r>
      <w:r>
        <w:rPr>
          <w:color w:val="000000"/>
        </w:rPr>
        <w:tab/>
      </w:r>
    </w:p>
    <w:p>
      <w:pPr>
        <w:pStyle w:val="9"/>
        <w:tabs>
          <w:tab w:val="left" w:pos="1374"/>
        </w:tabs>
        <w:spacing w:line="605" w:lineRule="exact"/>
        <w:ind w:firstLine="620"/>
      </w:pPr>
      <w:r>
        <w:rPr>
          <w:color w:val="000000"/>
        </w:rPr>
        <w:t>（二）</w:t>
      </w:r>
      <w:r>
        <w:rPr>
          <w:rFonts w:hint="eastAsia"/>
          <w:color w:val="000000"/>
          <w:lang w:eastAsia="zh-CN"/>
        </w:rPr>
        <w:t>负责加强离退休干部的思想政治工作。</w:t>
      </w:r>
      <w:r>
        <w:rPr>
          <w:color w:val="000000"/>
        </w:rPr>
        <w:tab/>
      </w:r>
    </w:p>
    <w:p>
      <w:pPr>
        <w:pStyle w:val="9"/>
        <w:tabs>
          <w:tab w:val="left" w:pos="1379"/>
        </w:tabs>
        <w:spacing w:line="569" w:lineRule="exact"/>
        <w:ind w:firstLine="620"/>
        <w:rPr>
          <w:rFonts w:hint="eastAsia" w:eastAsia="宋体"/>
          <w:lang w:eastAsia="zh-CN"/>
        </w:rPr>
      </w:pPr>
      <w:r>
        <w:rPr>
          <w:color w:val="000000"/>
        </w:rPr>
        <w:t>（三）</w:t>
      </w:r>
      <w:r>
        <w:rPr>
          <w:color w:val="000000"/>
        </w:rPr>
        <w:tab/>
      </w:r>
      <w:r>
        <w:rPr>
          <w:rFonts w:hint="eastAsia"/>
          <w:color w:val="000000"/>
          <w:lang w:eastAsia="zh-CN"/>
        </w:rPr>
        <w:t>做好局机关离退休干部活动室，组织有利于离退休干部身心健康的各类活动。</w:t>
      </w:r>
    </w:p>
    <w:p>
      <w:pPr>
        <w:pStyle w:val="9"/>
        <w:tabs>
          <w:tab w:val="left" w:pos="1407"/>
        </w:tabs>
        <w:spacing w:line="569" w:lineRule="exact"/>
        <w:ind w:firstLine="620"/>
      </w:pPr>
      <w:r>
        <w:rPr>
          <w:color w:val="000000"/>
        </w:rPr>
        <w:t>（四）</w:t>
      </w:r>
      <w:r>
        <w:rPr>
          <w:rFonts w:hint="eastAsia"/>
          <w:color w:val="000000"/>
          <w:lang w:eastAsia="zh-CN"/>
        </w:rPr>
        <w:t>负责做好局机关离退休干部的保健工作。</w:t>
      </w:r>
      <w:r>
        <w:rPr>
          <w:color w:val="000000"/>
        </w:rPr>
        <w:tab/>
      </w:r>
    </w:p>
    <w:p>
      <w:pPr>
        <w:pStyle w:val="9"/>
        <w:tabs>
          <w:tab w:val="left" w:pos="1367"/>
          <w:tab w:val="left" w:pos="7895"/>
        </w:tabs>
        <w:spacing w:line="569" w:lineRule="exact"/>
        <w:ind w:firstLine="580"/>
        <w:jc w:val="left"/>
      </w:pPr>
      <w:r>
        <w:rPr>
          <w:color w:val="000000"/>
        </w:rPr>
        <w:t>（</w:t>
      </w:r>
      <w:bookmarkEnd w:id="3"/>
      <w:r>
        <w:rPr>
          <w:color w:val="000000"/>
        </w:rPr>
        <w:t>五）</w:t>
      </w:r>
      <w:r>
        <w:rPr>
          <w:rFonts w:hint="eastAsia"/>
          <w:color w:val="000000"/>
          <w:lang w:val="en-US" w:eastAsia="zh-CN"/>
        </w:rPr>
        <w:t xml:space="preserve">  </w:t>
      </w:r>
      <w:r>
        <w:rPr>
          <w:color w:val="000000"/>
        </w:rPr>
        <w:t>承办州商务局交办的其他事项。</w:t>
      </w:r>
      <w:r>
        <w:rPr>
          <w:color w:val="000000"/>
        </w:rPr>
        <w:tab/>
      </w:r>
    </w:p>
    <w:p>
      <w:pPr>
        <w:pStyle w:val="11"/>
        <w:keepNext/>
        <w:keepLines/>
        <w:spacing w:line="569" w:lineRule="exact"/>
        <w:ind w:firstLine="580"/>
        <w:jc w:val="left"/>
      </w:pPr>
      <w:bookmarkStart w:id="4" w:name="bookmark19"/>
      <w:bookmarkStart w:id="5" w:name="bookmark17"/>
      <w:bookmarkStart w:id="6" w:name="bookmark20"/>
      <w:bookmarkStart w:id="7" w:name="bookmark18"/>
      <w:r>
        <w:rPr>
          <w:color w:val="000000"/>
        </w:rPr>
        <w:t>二</w:t>
      </w:r>
      <w:bookmarkEnd w:id="4"/>
      <w:r>
        <w:rPr>
          <w:color w:val="000000"/>
        </w:rPr>
        <w:t>、内设机构</w:t>
      </w:r>
      <w:bookmarkEnd w:id="5"/>
      <w:bookmarkEnd w:id="6"/>
      <w:bookmarkEnd w:id="7"/>
    </w:p>
    <w:p>
      <w:pPr>
        <w:pStyle w:val="9"/>
        <w:spacing w:line="575" w:lineRule="exact"/>
        <w:ind w:firstLine="580"/>
        <w:jc w:val="left"/>
      </w:pPr>
      <w:r>
        <w:rPr>
          <w:color w:val="000000"/>
        </w:rPr>
        <w:t>根据上述职责，州</w:t>
      </w:r>
      <w:r>
        <w:rPr>
          <w:rFonts w:hint="eastAsia"/>
          <w:color w:val="000000"/>
          <w:lang w:eastAsia="zh-CN"/>
        </w:rPr>
        <w:t>商务局机关老干服务中心</w:t>
      </w:r>
      <w:r>
        <w:rPr>
          <w:rFonts w:hint="eastAsia"/>
          <w:color w:val="000000"/>
          <w:lang w:val="en-US" w:eastAsia="zh-CN"/>
        </w:rPr>
        <w:t>中心</w:t>
      </w:r>
      <w:r>
        <w:rPr>
          <w:color w:val="000000"/>
        </w:rPr>
        <w:t>设</w:t>
      </w:r>
      <w:r>
        <w:rPr>
          <w:rFonts w:hint="eastAsia"/>
          <w:color w:val="000000"/>
          <w:lang w:val="en-US" w:eastAsia="zh-CN"/>
        </w:rPr>
        <w:t>2</w:t>
      </w:r>
      <w:r>
        <w:rPr>
          <w:color w:val="000000"/>
        </w:rPr>
        <w:t>个内设机构：</w:t>
      </w:r>
    </w:p>
    <w:p>
      <w:pPr>
        <w:pStyle w:val="9"/>
        <w:numPr>
          <w:ilvl w:val="0"/>
          <w:numId w:val="3"/>
        </w:numPr>
        <w:tabs>
          <w:tab w:val="left" w:pos="1365"/>
        </w:tabs>
        <w:spacing w:line="575" w:lineRule="exact"/>
        <w:ind w:firstLine="620"/>
        <w:rPr>
          <w:rFonts w:hint="eastAsia"/>
          <w:color w:val="000000"/>
          <w:lang w:eastAsia="zh-CN"/>
        </w:rPr>
      </w:pPr>
      <w:bookmarkStart w:id="8" w:name="bookmark23"/>
      <w:bookmarkStart w:id="9" w:name="bookmark22"/>
      <w:bookmarkStart w:id="10" w:name="bookmark21"/>
      <w:bookmarkStart w:id="11" w:name="bookmark24"/>
      <w:r>
        <w:rPr>
          <w:color w:val="000000"/>
          <w:spacing w:val="0"/>
          <w:w w:val="100"/>
          <w:position w:val="0"/>
        </w:rPr>
        <w:t>综合</w:t>
      </w:r>
      <w:r>
        <w:rPr>
          <w:rFonts w:hint="eastAsia"/>
          <w:color w:val="000000"/>
          <w:spacing w:val="0"/>
          <w:w w:val="100"/>
          <w:position w:val="0"/>
          <w:lang w:eastAsia="zh-CN"/>
        </w:rPr>
        <w:t>股</w:t>
      </w:r>
      <w:r>
        <w:rPr>
          <w:color w:val="000000"/>
          <w:spacing w:val="0"/>
          <w:w w:val="100"/>
          <w:position w:val="0"/>
        </w:rPr>
        <w:t>。</w:t>
      </w:r>
      <w:r>
        <w:rPr>
          <w:rFonts w:hint="eastAsia"/>
          <w:color w:val="000000"/>
          <w:spacing w:val="0"/>
          <w:w w:val="100"/>
          <w:position w:val="0"/>
          <w:lang w:val="en-US" w:eastAsia="zh-CN"/>
        </w:rPr>
        <w:t>1、</w:t>
      </w:r>
      <w:r>
        <w:rPr>
          <w:rFonts w:hint="eastAsia"/>
          <w:color w:val="000000"/>
          <w:lang w:eastAsia="zh-CN"/>
        </w:rPr>
        <w:t>负责贯彻执行局机关离退休老干部工作的方针、政策、规定，并制定具体实施办法。</w:t>
      </w:r>
      <w:r>
        <w:rPr>
          <w:rFonts w:hint="eastAsia"/>
          <w:color w:val="000000"/>
          <w:lang w:val="en-US" w:eastAsia="zh-CN"/>
        </w:rPr>
        <w:t xml:space="preserve">2、负责局机关离退休老干部生病、死亡、节日的慰问。3、摸清局机关遗孀情况。4、人事。5、 </w:t>
      </w:r>
      <w:r>
        <w:rPr>
          <w:color w:val="000000"/>
        </w:rPr>
        <w:t>承办州商务局交办的其他事项。</w:t>
      </w:r>
    </w:p>
    <w:p>
      <w:pPr>
        <w:pStyle w:val="9"/>
        <w:numPr>
          <w:ilvl w:val="0"/>
          <w:numId w:val="0"/>
        </w:numPr>
        <w:tabs>
          <w:tab w:val="left" w:pos="1365"/>
        </w:tabs>
        <w:spacing w:line="575" w:lineRule="exact"/>
        <w:ind w:firstLine="280" w:firstLineChars="100"/>
        <w:rPr>
          <w:rFonts w:hint="default" w:eastAsia="宋体"/>
          <w:lang w:val="en-US" w:eastAsia="zh-CN"/>
        </w:rPr>
      </w:pPr>
      <w:r>
        <w:rPr>
          <w:color w:val="000000"/>
          <w:spacing w:val="0"/>
          <w:w w:val="100"/>
          <w:position w:val="0"/>
        </w:rPr>
        <w:t>（二）</w:t>
      </w:r>
      <w:r>
        <w:rPr>
          <w:color w:val="000000"/>
          <w:spacing w:val="0"/>
          <w:w w:val="100"/>
          <w:position w:val="0"/>
        </w:rPr>
        <w:tab/>
      </w:r>
      <w:r>
        <w:rPr>
          <w:rFonts w:hint="eastAsia"/>
          <w:color w:val="000000"/>
          <w:spacing w:val="0"/>
          <w:w w:val="100"/>
          <w:position w:val="0"/>
          <w:lang w:eastAsia="zh-CN"/>
        </w:rPr>
        <w:t>财务室</w:t>
      </w:r>
      <w:r>
        <w:rPr>
          <w:color w:val="000000"/>
          <w:spacing w:val="0"/>
          <w:w w:val="100"/>
          <w:position w:val="0"/>
        </w:rPr>
        <w:t>。</w:t>
      </w:r>
      <w:r>
        <w:rPr>
          <w:rFonts w:hint="eastAsia"/>
          <w:color w:val="000000"/>
          <w:spacing w:val="0"/>
          <w:w w:val="100"/>
          <w:position w:val="0"/>
          <w:lang w:val="en-US" w:eastAsia="zh-CN"/>
        </w:rPr>
        <w:t>1.</w:t>
      </w:r>
      <w:r>
        <w:rPr>
          <w:rFonts w:hint="eastAsia"/>
          <w:color w:val="000000"/>
          <w:spacing w:val="0"/>
          <w:w w:val="100"/>
          <w:position w:val="0"/>
          <w:lang w:eastAsia="zh-CN"/>
        </w:rPr>
        <w:t>负责州商务局机关老干服务中心的财务</w:t>
      </w:r>
      <w:r>
        <w:rPr>
          <w:rFonts w:hint="eastAsia"/>
          <w:color w:val="000000"/>
          <w:spacing w:val="0"/>
          <w:w w:val="100"/>
          <w:position w:val="0"/>
          <w:lang w:val="en-US" w:eastAsia="zh-CN"/>
        </w:rPr>
        <w:t>.2、负责各种社保费、个人所得税的缴存、异动。3、</w:t>
      </w:r>
      <w:r>
        <w:rPr>
          <w:color w:val="000000"/>
        </w:rPr>
        <w:t>承办州商务局交办的其他事项</w:t>
      </w:r>
    </w:p>
    <w:p>
      <w:pPr>
        <w:pStyle w:val="9"/>
        <w:keepNext w:val="0"/>
        <w:keepLines w:val="0"/>
        <w:widowControl w:val="0"/>
        <w:shd w:val="clear" w:color="auto" w:fill="auto"/>
        <w:tabs>
          <w:tab w:val="left" w:pos="1594"/>
        </w:tabs>
        <w:bidi w:val="0"/>
        <w:spacing w:before="0" w:after="0" w:line="540" w:lineRule="exact"/>
        <w:ind w:left="0" w:right="0" w:firstLine="760"/>
        <w:jc w:val="both"/>
      </w:pPr>
    </w:p>
    <w:p>
      <w:pPr>
        <w:pStyle w:val="9"/>
        <w:keepNext w:val="0"/>
        <w:keepLines w:val="0"/>
        <w:widowControl w:val="0"/>
        <w:shd w:val="clear" w:color="auto" w:fill="auto"/>
        <w:tabs>
          <w:tab w:val="left" w:pos="1594"/>
        </w:tabs>
        <w:bidi w:val="0"/>
        <w:spacing w:before="0" w:after="0" w:line="540" w:lineRule="exact"/>
        <w:ind w:left="0" w:right="0" w:firstLine="760"/>
        <w:jc w:val="both"/>
      </w:pPr>
    </w:p>
    <w:p>
      <w:pPr>
        <w:pStyle w:val="11"/>
        <w:keepNext/>
        <w:keepLines/>
        <w:tabs>
          <w:tab w:val="left" w:pos="1273"/>
        </w:tabs>
        <w:spacing w:line="571" w:lineRule="exact"/>
      </w:pPr>
      <w:r>
        <w:rPr>
          <w:color w:val="000000"/>
        </w:rPr>
        <w:t>三</w:t>
      </w:r>
      <w:bookmarkEnd w:id="8"/>
      <w:r>
        <w:rPr>
          <w:color w:val="000000"/>
        </w:rPr>
        <w:t>、</w:t>
      </w:r>
      <w:r>
        <w:rPr>
          <w:color w:val="000000"/>
        </w:rPr>
        <w:tab/>
      </w:r>
      <w:r>
        <w:rPr>
          <w:color w:val="000000"/>
        </w:rPr>
        <w:t>人员编制</w:t>
      </w:r>
      <w:bookmarkEnd w:id="9"/>
      <w:bookmarkEnd w:id="10"/>
      <w:bookmarkEnd w:id="11"/>
    </w:p>
    <w:p>
      <w:pPr>
        <w:pStyle w:val="9"/>
        <w:keepNext w:val="0"/>
        <w:keepLines w:val="0"/>
        <w:widowControl w:val="0"/>
        <w:shd w:val="clear" w:color="auto" w:fill="auto"/>
        <w:bidi w:val="0"/>
        <w:spacing w:before="0" w:after="0" w:line="540" w:lineRule="exact"/>
        <w:ind w:left="0" w:right="0" w:firstLine="620"/>
        <w:jc w:val="left"/>
        <w:rPr>
          <w:rFonts w:hint="eastAsia" w:eastAsia="宋体"/>
          <w:lang w:eastAsia="zh-CN"/>
        </w:rPr>
      </w:pPr>
      <w:r>
        <w:rPr>
          <w:rFonts w:hint="eastAsia"/>
          <w:color w:val="000000"/>
          <w:spacing w:val="0"/>
          <w:w w:val="100"/>
          <w:position w:val="0"/>
          <w:lang w:eastAsia="zh-CN"/>
        </w:rPr>
        <w:t>州商务局机关老干服务中心</w:t>
      </w:r>
      <w:r>
        <w:rPr>
          <w:color w:val="000000"/>
          <w:spacing w:val="0"/>
          <w:w w:val="100"/>
          <w:position w:val="0"/>
        </w:rPr>
        <w:t>核定全额拨款事业编制</w:t>
      </w:r>
      <w:r>
        <w:rPr>
          <w:rFonts w:hint="eastAsia"/>
          <w:color w:val="000000"/>
          <w:spacing w:val="0"/>
          <w:w w:val="100"/>
          <w:position w:val="0"/>
          <w:lang w:val="en-US" w:eastAsia="zh-CN"/>
        </w:rPr>
        <w:t>5</w:t>
      </w:r>
      <w:r>
        <w:rPr>
          <w:color w:val="000000"/>
          <w:spacing w:val="0"/>
          <w:w w:val="100"/>
          <w:position w:val="0"/>
        </w:rPr>
        <w:t>名。 核定主任</w:t>
      </w:r>
      <w:r>
        <w:rPr>
          <w:color w:val="000000"/>
          <w:spacing w:val="0"/>
          <w:w w:val="100"/>
          <w:position w:val="0"/>
          <w:sz w:val="32"/>
          <w:szCs w:val="32"/>
        </w:rPr>
        <w:t>1</w:t>
      </w:r>
      <w:r>
        <w:rPr>
          <w:color w:val="000000"/>
          <w:spacing w:val="0"/>
          <w:w w:val="100"/>
          <w:position w:val="0"/>
        </w:rPr>
        <w:t>名，副主任</w:t>
      </w:r>
      <w:r>
        <w:rPr>
          <w:rFonts w:hint="eastAsia"/>
          <w:color w:val="000000"/>
          <w:spacing w:val="0"/>
          <w:w w:val="100"/>
          <w:position w:val="0"/>
          <w:lang w:val="en-US" w:eastAsia="zh-CN"/>
        </w:rPr>
        <w:t>2</w:t>
      </w:r>
      <w:r>
        <w:rPr>
          <w:color w:val="000000"/>
          <w:spacing w:val="0"/>
          <w:w w:val="100"/>
          <w:position w:val="0"/>
        </w:rPr>
        <w:t>名</w:t>
      </w:r>
      <w:r>
        <w:rPr>
          <w:rFonts w:hint="eastAsia"/>
          <w:color w:val="000000"/>
          <w:spacing w:val="0"/>
          <w:w w:val="100"/>
          <w:position w:val="0"/>
          <w:lang w:eastAsia="zh-CN"/>
        </w:rPr>
        <w:t>。</w:t>
      </w:r>
    </w:p>
    <w:p>
      <w:pPr>
        <w:numPr>
          <w:ilvl w:val="0"/>
          <w:numId w:val="4"/>
        </w:numPr>
        <w:spacing w:line="600" w:lineRule="exact"/>
        <w:ind w:firstLine="642" w:firstLineChars="200"/>
        <w:rPr>
          <w:rFonts w:hint="eastAsia" w:eastAsia="楷体_GB2312"/>
          <w:b/>
          <w:bCs/>
          <w:sz w:val="32"/>
          <w:szCs w:val="32"/>
        </w:rPr>
      </w:pPr>
      <w:r>
        <w:rPr>
          <w:rFonts w:eastAsia="楷体_GB2312"/>
          <w:b/>
          <w:bCs/>
          <w:sz w:val="32"/>
          <w:szCs w:val="32"/>
        </w:rPr>
        <w:t>部门（单位）年度整体支出绩效目标，</w:t>
      </w:r>
      <w:r>
        <w:rPr>
          <w:rFonts w:hint="eastAsia"/>
          <w:b/>
          <w:bCs/>
          <w:sz w:val="32"/>
          <w:szCs w:val="32"/>
        </w:rPr>
        <w:t>州</w:t>
      </w:r>
      <w:r>
        <w:rPr>
          <w:rFonts w:eastAsia="楷体_GB2312"/>
          <w:b/>
          <w:bCs/>
          <w:sz w:val="32"/>
          <w:szCs w:val="32"/>
        </w:rPr>
        <w:t>级专项资金绩效目标、其他项目支出（除</w:t>
      </w:r>
      <w:r>
        <w:rPr>
          <w:rFonts w:hint="eastAsia"/>
          <w:b/>
          <w:bCs/>
          <w:sz w:val="32"/>
          <w:szCs w:val="32"/>
        </w:rPr>
        <w:t>州</w:t>
      </w:r>
      <w:r>
        <w:rPr>
          <w:rFonts w:eastAsia="楷体_GB2312"/>
          <w:b/>
          <w:bCs/>
          <w:sz w:val="32"/>
          <w:szCs w:val="32"/>
        </w:rPr>
        <w:t>级专项资金以外）绩效</w:t>
      </w:r>
      <w:r>
        <w:rPr>
          <w:rFonts w:hint="eastAsia" w:eastAsia="楷体_GB2312"/>
          <w:b/>
          <w:bCs/>
          <w:sz w:val="32"/>
          <w:szCs w:val="32"/>
        </w:rPr>
        <w:t>目标</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本单位年底整体支出绩效目标为100%</w:t>
      </w:r>
      <w:r>
        <w:rPr>
          <w:rFonts w:hint="eastAsia" w:ascii="仿宋_GB2312" w:hAnsi="仿宋_GB2312" w:eastAsia="仿宋_GB2312" w:cs="仿宋_GB2312"/>
          <w:sz w:val="32"/>
          <w:szCs w:val="32"/>
          <w:lang w:eastAsia="zh-CN"/>
        </w:rPr>
        <w:t>。</w:t>
      </w:r>
    </w:p>
    <w:p>
      <w:pPr>
        <w:spacing w:line="600" w:lineRule="exact"/>
        <w:ind w:firstLine="640" w:firstLineChars="200"/>
        <w:rPr>
          <w:rFonts w:eastAsia="黑体"/>
          <w:sz w:val="32"/>
          <w:szCs w:val="32"/>
        </w:rPr>
      </w:pPr>
      <w:r>
        <w:rPr>
          <w:rFonts w:eastAsia="黑体"/>
          <w:sz w:val="32"/>
          <w:szCs w:val="32"/>
        </w:rPr>
        <w:t>二、一般公共预算支出情况</w:t>
      </w:r>
    </w:p>
    <w:p>
      <w:pPr>
        <w:spacing w:line="600" w:lineRule="exact"/>
        <w:ind w:firstLine="643"/>
        <w:rPr>
          <w:rFonts w:hint="eastAsia" w:cs="宋体"/>
          <w:b/>
          <w:bCs/>
          <w:sz w:val="32"/>
          <w:szCs w:val="32"/>
        </w:rPr>
      </w:pPr>
      <w:r>
        <w:rPr>
          <w:rFonts w:eastAsia="楷体_GB2312"/>
          <w:b/>
          <w:bCs/>
          <w:sz w:val="32"/>
          <w:szCs w:val="32"/>
        </w:rPr>
        <w:t>（一）基本支出情</w:t>
      </w:r>
      <w:r>
        <w:rPr>
          <w:rFonts w:hint="eastAsia" w:cs="宋体"/>
          <w:b/>
          <w:bCs/>
          <w:sz w:val="32"/>
          <w:szCs w:val="32"/>
        </w:rPr>
        <w:t>况</w:t>
      </w:r>
    </w:p>
    <w:p>
      <w:pPr>
        <w:ind w:firstLine="660"/>
        <w:rPr>
          <w:rFonts w:hint="eastAsia" w:ascii="仿宋" w:hAnsi="仿宋" w:eastAsia="仿宋" w:cs="仿宋_GB2312"/>
          <w:sz w:val="30"/>
          <w:szCs w:val="30"/>
        </w:rPr>
      </w:pPr>
      <w:r>
        <w:rPr>
          <w:rFonts w:hint="eastAsia" w:ascii="仿宋" w:hAnsi="仿宋" w:eastAsia="仿宋" w:cs="仿宋_GB2312"/>
          <w:sz w:val="30"/>
          <w:szCs w:val="30"/>
        </w:rPr>
        <w:t>202</w:t>
      </w:r>
      <w:r>
        <w:rPr>
          <w:rFonts w:hint="default" w:ascii="仿宋" w:hAnsi="仿宋" w:eastAsia="仿宋" w:cs="仿宋_GB2312"/>
          <w:sz w:val="30"/>
          <w:szCs w:val="30"/>
          <w:lang w:val="en"/>
        </w:rPr>
        <w:t>1</w:t>
      </w:r>
      <w:r>
        <w:rPr>
          <w:rFonts w:hint="eastAsia" w:ascii="仿宋" w:hAnsi="仿宋" w:eastAsia="仿宋" w:cs="仿宋_GB2312"/>
          <w:sz w:val="30"/>
          <w:szCs w:val="30"/>
        </w:rPr>
        <w:t>年本单位基本支出</w:t>
      </w:r>
      <w:r>
        <w:rPr>
          <w:rFonts w:hint="eastAsia" w:ascii="仿宋" w:hAnsi="仿宋" w:eastAsia="仿宋" w:cs="仿宋_GB2312"/>
          <w:sz w:val="30"/>
          <w:szCs w:val="30"/>
          <w:lang w:val="en-US" w:eastAsia="zh-CN"/>
        </w:rPr>
        <w:t>7</w:t>
      </w:r>
      <w:r>
        <w:rPr>
          <w:rFonts w:hint="default" w:ascii="仿宋" w:hAnsi="仿宋" w:eastAsia="仿宋" w:cs="仿宋_GB2312"/>
          <w:sz w:val="30"/>
          <w:szCs w:val="30"/>
          <w:lang w:val="en" w:eastAsia="zh-CN"/>
        </w:rPr>
        <w:t>4.</w:t>
      </w:r>
      <w:r>
        <w:rPr>
          <w:rFonts w:hint="eastAsia" w:ascii="仿宋" w:hAnsi="仿宋" w:eastAsia="仿宋" w:cs="仿宋_GB2312"/>
          <w:sz w:val="30"/>
          <w:szCs w:val="30"/>
          <w:lang w:val="en-US" w:eastAsia="zh-CN"/>
        </w:rPr>
        <w:t>24</w:t>
      </w:r>
      <w:r>
        <w:rPr>
          <w:rFonts w:hint="eastAsia" w:ascii="仿宋" w:hAnsi="仿宋" w:eastAsia="仿宋" w:cs="仿宋_GB2312"/>
          <w:sz w:val="30"/>
          <w:szCs w:val="30"/>
        </w:rPr>
        <w:t>万元，其中工资福利支出</w:t>
      </w:r>
      <w:r>
        <w:rPr>
          <w:rFonts w:hint="eastAsia" w:ascii="仿宋" w:hAnsi="仿宋" w:eastAsia="仿宋" w:cs="仿宋_GB2312"/>
          <w:sz w:val="30"/>
          <w:szCs w:val="30"/>
          <w:lang w:val="en-US" w:eastAsia="zh-CN"/>
        </w:rPr>
        <w:t>4</w:t>
      </w:r>
      <w:r>
        <w:rPr>
          <w:rFonts w:hint="default" w:ascii="仿宋" w:hAnsi="仿宋" w:eastAsia="仿宋" w:cs="仿宋_GB2312"/>
          <w:sz w:val="30"/>
          <w:szCs w:val="30"/>
          <w:lang w:val="en" w:eastAsia="zh-CN"/>
        </w:rPr>
        <w:t>3.24</w:t>
      </w:r>
      <w:r>
        <w:rPr>
          <w:rFonts w:hint="eastAsia" w:ascii="仿宋" w:hAnsi="仿宋" w:eastAsia="仿宋" w:cs="仿宋_GB2312"/>
          <w:sz w:val="30"/>
          <w:szCs w:val="30"/>
        </w:rPr>
        <w:t>万元，商品和服务支出</w:t>
      </w:r>
      <w:r>
        <w:rPr>
          <w:rFonts w:hint="eastAsia" w:ascii="仿宋" w:hAnsi="仿宋" w:eastAsia="仿宋" w:cs="仿宋_GB2312"/>
          <w:sz w:val="30"/>
          <w:szCs w:val="30"/>
          <w:lang w:val="en-US" w:eastAsia="zh-CN"/>
        </w:rPr>
        <w:t>1</w:t>
      </w:r>
      <w:r>
        <w:rPr>
          <w:rFonts w:hint="default" w:ascii="仿宋" w:hAnsi="仿宋" w:eastAsia="仿宋" w:cs="仿宋_GB2312"/>
          <w:sz w:val="30"/>
          <w:szCs w:val="30"/>
          <w:lang w:val="en" w:eastAsia="zh-CN"/>
        </w:rPr>
        <w:t>2.</w:t>
      </w:r>
      <w:r>
        <w:rPr>
          <w:rFonts w:hint="eastAsia" w:ascii="仿宋" w:hAnsi="仿宋" w:eastAsia="仿宋" w:cs="仿宋_GB2312"/>
          <w:sz w:val="30"/>
          <w:szCs w:val="30"/>
          <w:lang w:val="en-US" w:eastAsia="zh-CN"/>
        </w:rPr>
        <w:t>04</w:t>
      </w:r>
      <w:r>
        <w:rPr>
          <w:rFonts w:hint="eastAsia" w:ascii="仿宋" w:hAnsi="仿宋" w:eastAsia="仿宋" w:cs="仿宋_GB2312"/>
          <w:sz w:val="30"/>
          <w:szCs w:val="30"/>
        </w:rPr>
        <w:t>万元，对个人和家庭补助支出</w:t>
      </w:r>
      <w:r>
        <w:rPr>
          <w:rFonts w:hint="eastAsia" w:ascii="仿宋" w:hAnsi="仿宋" w:eastAsia="仿宋" w:cs="仿宋_GB2312"/>
          <w:sz w:val="30"/>
          <w:szCs w:val="30"/>
          <w:lang w:val="en-US" w:eastAsia="zh-CN"/>
        </w:rPr>
        <w:t>1</w:t>
      </w:r>
      <w:r>
        <w:rPr>
          <w:rFonts w:hint="default" w:ascii="仿宋" w:hAnsi="仿宋" w:eastAsia="仿宋" w:cs="仿宋_GB2312"/>
          <w:sz w:val="30"/>
          <w:szCs w:val="30"/>
          <w:lang w:val="en" w:eastAsia="zh-CN"/>
        </w:rPr>
        <w:t>8.48</w:t>
      </w:r>
      <w:r>
        <w:rPr>
          <w:rFonts w:hint="eastAsia" w:ascii="仿宋" w:hAnsi="仿宋" w:eastAsia="仿宋" w:cs="仿宋_GB2312"/>
          <w:sz w:val="30"/>
          <w:szCs w:val="30"/>
        </w:rPr>
        <w:t>万元，其他资本性支出</w:t>
      </w:r>
      <w:r>
        <w:rPr>
          <w:rFonts w:hint="default" w:ascii="仿宋" w:hAnsi="仿宋" w:eastAsia="仿宋" w:cs="仿宋_GB2312"/>
          <w:sz w:val="30"/>
          <w:szCs w:val="30"/>
          <w:lang w:val="en"/>
        </w:rPr>
        <w:t>0.48</w:t>
      </w:r>
      <w:r>
        <w:rPr>
          <w:rFonts w:hint="eastAsia" w:ascii="仿宋" w:hAnsi="仿宋" w:eastAsia="仿宋" w:cs="仿宋_GB2312"/>
          <w:sz w:val="30"/>
          <w:szCs w:val="30"/>
        </w:rPr>
        <w:t>万元。</w:t>
      </w:r>
    </w:p>
    <w:p>
      <w:pPr>
        <w:spacing w:line="600" w:lineRule="exact"/>
        <w:ind w:firstLine="643"/>
        <w:rPr>
          <w:rFonts w:eastAsia="楷体_GB2312"/>
          <w:b/>
          <w:bCs/>
          <w:sz w:val="32"/>
          <w:szCs w:val="32"/>
        </w:rPr>
      </w:pPr>
      <w:r>
        <w:rPr>
          <w:rFonts w:eastAsia="楷体_GB2312"/>
          <w:b/>
          <w:bCs/>
          <w:sz w:val="32"/>
          <w:szCs w:val="32"/>
        </w:rPr>
        <w:t>（二）项目支出情</w:t>
      </w:r>
      <w:r>
        <w:rPr>
          <w:rFonts w:hint="eastAsia" w:cs="宋体"/>
          <w:b/>
          <w:bCs/>
          <w:sz w:val="32"/>
          <w:szCs w:val="32"/>
        </w:rPr>
        <w:t>况</w:t>
      </w:r>
    </w:p>
    <w:p>
      <w:pPr>
        <w:spacing w:line="560" w:lineRule="exact"/>
        <w:ind w:firstLine="600" w:firstLineChars="200"/>
        <w:rPr>
          <w:rFonts w:hint="eastAsia" w:ascii="仿宋" w:hAnsi="仿宋" w:eastAsia="仿宋" w:cs="仿宋_GB2312"/>
          <w:color w:val="FF0000"/>
          <w:sz w:val="30"/>
          <w:szCs w:val="30"/>
          <w:lang w:eastAsia="zh-CN"/>
        </w:rPr>
      </w:pPr>
      <w:r>
        <w:rPr>
          <w:rFonts w:hint="eastAsia" w:ascii="仿宋" w:hAnsi="仿宋" w:eastAsia="仿宋" w:cs="仿宋_GB2312"/>
          <w:sz w:val="30"/>
          <w:szCs w:val="30"/>
        </w:rPr>
        <w:t>202</w:t>
      </w:r>
      <w:r>
        <w:rPr>
          <w:rFonts w:hint="default" w:ascii="仿宋" w:hAnsi="仿宋" w:eastAsia="仿宋" w:cs="仿宋_GB2312"/>
          <w:sz w:val="30"/>
          <w:szCs w:val="30"/>
          <w:lang w:val="en"/>
        </w:rPr>
        <w:t>1</w:t>
      </w:r>
      <w:r>
        <w:rPr>
          <w:rFonts w:hint="eastAsia" w:ascii="仿宋" w:hAnsi="仿宋" w:eastAsia="仿宋" w:cs="仿宋_GB2312"/>
          <w:sz w:val="30"/>
          <w:szCs w:val="30"/>
        </w:rPr>
        <w:t>年本单位项目支出</w:t>
      </w:r>
      <w:r>
        <w:rPr>
          <w:rFonts w:hint="eastAsia" w:ascii="仿宋" w:hAnsi="仿宋" w:eastAsia="仿宋" w:cs="仿宋_GB2312"/>
          <w:sz w:val="30"/>
          <w:szCs w:val="30"/>
          <w:lang w:val="en-US" w:eastAsia="zh-CN"/>
        </w:rPr>
        <w:t>0.00</w:t>
      </w:r>
      <w:r>
        <w:rPr>
          <w:rFonts w:hint="eastAsia" w:ascii="仿宋" w:hAnsi="仿宋" w:eastAsia="仿宋" w:cs="仿宋_GB2312"/>
          <w:sz w:val="30"/>
          <w:szCs w:val="30"/>
        </w:rPr>
        <w:t>万元</w:t>
      </w:r>
      <w:r>
        <w:rPr>
          <w:rFonts w:hint="eastAsia" w:ascii="仿宋" w:hAnsi="仿宋" w:eastAsia="仿宋" w:cs="仿宋_GB2312"/>
          <w:sz w:val="30"/>
          <w:szCs w:val="30"/>
          <w:lang w:eastAsia="zh-CN"/>
        </w:rPr>
        <w:t>。</w:t>
      </w:r>
    </w:p>
    <w:p>
      <w:pPr>
        <w:spacing w:line="600" w:lineRule="exact"/>
        <w:ind w:firstLine="640"/>
        <w:rPr>
          <w:rFonts w:eastAsia="黑体"/>
          <w:sz w:val="32"/>
          <w:szCs w:val="32"/>
        </w:rPr>
      </w:pPr>
      <w:r>
        <w:rPr>
          <w:rFonts w:eastAsia="黑体"/>
          <w:sz w:val="32"/>
          <w:szCs w:val="32"/>
        </w:rPr>
        <w:t>三、政府性基金预算支出情况</w:t>
      </w:r>
      <w:r>
        <w:rPr>
          <w:rFonts w:hint="eastAsia" w:eastAsia="黑体"/>
          <w:sz w:val="32"/>
          <w:szCs w:val="32"/>
        </w:rPr>
        <w:t>（无）</w:t>
      </w:r>
    </w:p>
    <w:p>
      <w:pPr>
        <w:spacing w:line="600" w:lineRule="exact"/>
        <w:ind w:firstLine="640"/>
        <w:rPr>
          <w:rFonts w:eastAsia="黑体"/>
          <w:sz w:val="32"/>
          <w:szCs w:val="32"/>
        </w:rPr>
      </w:pPr>
      <w:r>
        <w:rPr>
          <w:rFonts w:eastAsia="黑体"/>
          <w:sz w:val="32"/>
          <w:szCs w:val="32"/>
        </w:rPr>
        <w:t>四、国有资本经营预算支出情况</w:t>
      </w:r>
      <w:r>
        <w:rPr>
          <w:rFonts w:hint="eastAsia" w:eastAsia="黑体"/>
          <w:sz w:val="32"/>
          <w:szCs w:val="32"/>
        </w:rPr>
        <w:t>（无）</w:t>
      </w:r>
    </w:p>
    <w:p>
      <w:pPr>
        <w:spacing w:line="600" w:lineRule="exact"/>
        <w:ind w:firstLine="640"/>
        <w:rPr>
          <w:rFonts w:eastAsia="黑体"/>
          <w:sz w:val="32"/>
          <w:szCs w:val="32"/>
        </w:rPr>
      </w:pPr>
      <w:r>
        <w:rPr>
          <w:rFonts w:eastAsia="黑体"/>
          <w:sz w:val="32"/>
          <w:szCs w:val="32"/>
        </w:rPr>
        <w:t>五、社会保险基金预算支出情况</w:t>
      </w:r>
      <w:r>
        <w:rPr>
          <w:rFonts w:hint="eastAsia" w:eastAsia="黑体"/>
          <w:sz w:val="32"/>
          <w:szCs w:val="32"/>
        </w:rPr>
        <w:t>（无）</w:t>
      </w:r>
    </w:p>
    <w:p>
      <w:pPr>
        <w:spacing w:line="600" w:lineRule="exact"/>
        <w:ind w:firstLine="640" w:firstLineChars="200"/>
        <w:rPr>
          <w:rFonts w:eastAsia="黑体"/>
          <w:sz w:val="32"/>
          <w:szCs w:val="32"/>
        </w:rPr>
      </w:pPr>
      <w:r>
        <w:rPr>
          <w:rFonts w:eastAsia="黑体"/>
          <w:sz w:val="32"/>
          <w:szCs w:val="32"/>
        </w:rPr>
        <w:t>六、部门整体支出绩效情况</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1、投入</w:t>
      </w:r>
    </w:p>
    <w:p>
      <w:pPr>
        <w:spacing w:line="560" w:lineRule="exact"/>
        <w:ind w:firstLine="300" w:firstLineChars="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（1）目标设定情况</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①绩效目标合理性（3分）：本单位202</w:t>
      </w:r>
      <w:r>
        <w:rPr>
          <w:rFonts w:hint="default" w:ascii="仿宋_GB2312" w:hAnsi="仿宋_GB2312" w:eastAsia="仿宋_GB2312" w:cs="仿宋_GB2312"/>
          <w:sz w:val="30"/>
          <w:szCs w:val="30"/>
          <w:lang w:val="en"/>
        </w:rPr>
        <w:t>1</w:t>
      </w:r>
      <w:r>
        <w:rPr>
          <w:rFonts w:hint="eastAsia" w:ascii="仿宋_GB2312" w:hAnsi="仿宋_GB2312" w:eastAsia="仿宋_GB2312" w:cs="仿宋_GB2312"/>
          <w:sz w:val="30"/>
          <w:szCs w:val="30"/>
        </w:rPr>
        <w:t>年度所设定的整体绩效目标依据充分，符合客观实际，符合国家法律法规、国民经济和社会发展总体规划，符合本单位“三定”方案确定的职责，符合本单位制定的中长期实施规划，根据评分标准，本单位该项指标得满分3分。</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②绩效指标的明确性（3分）：本单位202</w:t>
      </w:r>
      <w:r>
        <w:rPr>
          <w:rFonts w:hint="default" w:ascii="仿宋_GB2312" w:hAnsi="仿宋_GB2312" w:eastAsia="仿宋_GB2312" w:cs="仿宋_GB2312"/>
          <w:sz w:val="30"/>
          <w:szCs w:val="30"/>
          <w:lang w:val="en"/>
        </w:rPr>
        <w:t>1</w:t>
      </w:r>
      <w:r>
        <w:rPr>
          <w:rFonts w:hint="eastAsia" w:ascii="仿宋_GB2312" w:hAnsi="仿宋_GB2312" w:eastAsia="仿宋_GB2312" w:cs="仿宋_GB2312"/>
          <w:sz w:val="30"/>
          <w:szCs w:val="30"/>
        </w:rPr>
        <w:t>年度依据整体绩效目标所设定的绩效指标清晰、细化、可衡量，能很好的反映本单位的具体工作任务，能与本年安排的预算资金相匹配。根据评分标准，本单位该项指标得满分3分。</w:t>
      </w:r>
    </w:p>
    <w:p>
      <w:pPr>
        <w:spacing w:line="560" w:lineRule="exact"/>
        <w:ind w:firstLine="300" w:firstLineChars="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（2）预算配置情况</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①在职人员控制率（3分）：本单位202</w:t>
      </w:r>
      <w:r>
        <w:rPr>
          <w:rFonts w:hint="default" w:ascii="仿宋_GB2312" w:hAnsi="仿宋_GB2312" w:eastAsia="仿宋_GB2312" w:cs="仿宋_GB2312"/>
          <w:sz w:val="30"/>
          <w:szCs w:val="30"/>
          <w:lang w:val="en"/>
        </w:rPr>
        <w:t>1</w:t>
      </w:r>
      <w:r>
        <w:rPr>
          <w:rFonts w:hint="eastAsia" w:ascii="仿宋_GB2312" w:hAnsi="仿宋_GB2312" w:eastAsia="仿宋_GB2312" w:cs="仿宋_GB2312"/>
          <w:sz w:val="30"/>
          <w:szCs w:val="30"/>
        </w:rPr>
        <w:t>年度事业编制人数</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人，实际在职人员为</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人，在职人员控制率＝（在职人数÷编制数）×100%＝（</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）×100%＝</w:t>
      </w:r>
      <w:r>
        <w:rPr>
          <w:rFonts w:hint="eastAsia" w:ascii="仿宋_GB2312" w:hAnsi="仿宋_GB2312" w:eastAsia="仿宋_GB2312" w:cs="仿宋_GB2312"/>
          <w:sz w:val="30"/>
          <w:szCs w:val="30"/>
          <w:lang w:val="en-US" w:eastAsia="zh-CN"/>
        </w:rPr>
        <w:t>100</w:t>
      </w:r>
      <w:r>
        <w:rPr>
          <w:rFonts w:hint="eastAsia" w:ascii="仿宋_GB2312" w:hAnsi="仿宋_GB2312" w:eastAsia="仿宋_GB2312" w:cs="仿宋_GB2312"/>
          <w:sz w:val="30"/>
          <w:szCs w:val="30"/>
        </w:rPr>
        <w:t>%，根据评分标准，本单位该项指标得满分3分。</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②“三公经费”变动率（4分）：202</w:t>
      </w:r>
      <w:r>
        <w:rPr>
          <w:rFonts w:hint="default" w:ascii="仿宋_GB2312" w:hAnsi="仿宋_GB2312" w:eastAsia="仿宋_GB2312" w:cs="仿宋_GB2312"/>
          <w:sz w:val="30"/>
          <w:szCs w:val="30"/>
          <w:lang w:val="en"/>
        </w:rPr>
        <w:t>1</w:t>
      </w:r>
      <w:r>
        <w:rPr>
          <w:rFonts w:hint="eastAsia" w:ascii="仿宋_GB2312" w:hAnsi="仿宋_GB2312" w:eastAsia="仿宋_GB2312" w:cs="仿宋_GB2312"/>
          <w:sz w:val="30"/>
          <w:szCs w:val="30"/>
        </w:rPr>
        <w:t>年度本单位预算安排的“三公经费”总额为</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万元，20</w:t>
      </w:r>
      <w:r>
        <w:rPr>
          <w:rFonts w:hint="default" w:ascii="仿宋_GB2312" w:hAnsi="仿宋_GB2312" w:eastAsia="仿宋_GB2312" w:cs="仿宋_GB2312"/>
          <w:sz w:val="30"/>
          <w:szCs w:val="30"/>
          <w:lang w:val="en"/>
        </w:rPr>
        <w:t>20</w:t>
      </w:r>
      <w:r>
        <w:rPr>
          <w:rFonts w:hint="eastAsia" w:ascii="仿宋_GB2312" w:hAnsi="仿宋_GB2312" w:eastAsia="仿宋_GB2312" w:cs="仿宋_GB2312"/>
          <w:sz w:val="30"/>
          <w:szCs w:val="30"/>
        </w:rPr>
        <w:t>年度预算安排的“三公经费”总额为</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万元。本单位“三公经费”变动率＝（本年度“三公经费”预算数-上年度“三公经费”预算数）÷上年度“三公经费”预算数×100%＝（</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万元×100%＝0%。根据评分标准，本单位该项指标得满分4分。</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2、过程</w:t>
      </w:r>
    </w:p>
    <w:p>
      <w:pPr>
        <w:spacing w:line="560" w:lineRule="exact"/>
        <w:ind w:firstLine="300" w:firstLineChars="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（1）预算执行情况</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①预算完成率（5分）：本单位上年结转</w:t>
      </w:r>
      <w:r>
        <w:rPr>
          <w:rFonts w:hint="default" w:ascii="仿宋_GB2312" w:hAnsi="仿宋_GB2312" w:eastAsia="仿宋_GB2312" w:cs="仿宋_GB2312"/>
          <w:sz w:val="30"/>
          <w:szCs w:val="30"/>
          <w:lang w:val="en"/>
        </w:rPr>
        <w:t>0.31</w:t>
      </w:r>
      <w:r>
        <w:rPr>
          <w:rFonts w:hint="eastAsia" w:ascii="仿宋_GB2312" w:hAnsi="仿宋_GB2312" w:eastAsia="仿宋_GB2312" w:cs="仿宋_GB2312"/>
          <w:sz w:val="30"/>
          <w:szCs w:val="30"/>
        </w:rPr>
        <w:t>万元，年初预算</w:t>
      </w:r>
      <w:r>
        <w:rPr>
          <w:rFonts w:hint="eastAsia" w:ascii="仿宋_GB2312" w:hAnsi="仿宋_GB2312" w:eastAsia="仿宋_GB2312" w:cs="仿宋_GB2312"/>
          <w:sz w:val="30"/>
          <w:szCs w:val="30"/>
          <w:lang w:val="en-US" w:eastAsia="zh-CN"/>
        </w:rPr>
        <w:t>5</w:t>
      </w:r>
      <w:r>
        <w:rPr>
          <w:rFonts w:hint="default" w:ascii="仿宋_GB2312" w:hAnsi="仿宋_GB2312" w:eastAsia="仿宋_GB2312" w:cs="仿宋_GB2312"/>
          <w:sz w:val="30"/>
          <w:szCs w:val="30"/>
          <w:lang w:val="en" w:eastAsia="zh-CN"/>
        </w:rPr>
        <w:t>5.57</w:t>
      </w:r>
      <w:r>
        <w:rPr>
          <w:rFonts w:hint="eastAsia" w:ascii="仿宋_GB2312" w:hAnsi="仿宋_GB2312" w:eastAsia="仿宋_GB2312" w:cs="仿宋_GB2312"/>
          <w:sz w:val="30"/>
          <w:szCs w:val="30"/>
        </w:rPr>
        <w:t>万元，本年追加预算</w:t>
      </w:r>
      <w:r>
        <w:rPr>
          <w:rFonts w:hint="eastAsia" w:ascii="仿宋_GB2312" w:hAnsi="仿宋_GB2312" w:eastAsia="仿宋_GB2312" w:cs="仿宋_GB2312"/>
          <w:sz w:val="30"/>
          <w:szCs w:val="30"/>
          <w:lang w:val="en-US" w:eastAsia="zh-CN"/>
        </w:rPr>
        <w:t>1</w:t>
      </w:r>
      <w:r>
        <w:rPr>
          <w:rFonts w:hint="default" w:ascii="仿宋_GB2312" w:hAnsi="仿宋_GB2312" w:eastAsia="仿宋_GB2312" w:cs="仿宋_GB2312"/>
          <w:sz w:val="30"/>
          <w:szCs w:val="30"/>
          <w:lang w:val="en" w:eastAsia="zh-CN"/>
        </w:rPr>
        <w:t>8.6</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万元，年末结余</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万元；本单位预算完成率＝（上年结转和结余+年初预算+本年追加预算-年末结转和结余）÷（上年结转和结余+年初预算+本年追加预算）×100%＝（</w:t>
      </w:r>
      <w:r>
        <w:rPr>
          <w:rFonts w:hint="default" w:ascii="仿宋_GB2312" w:hAnsi="仿宋_GB2312" w:eastAsia="仿宋_GB2312" w:cs="仿宋_GB2312"/>
          <w:sz w:val="30"/>
          <w:szCs w:val="30"/>
          <w:lang w:val="en"/>
        </w:rPr>
        <w:t>0.31</w:t>
      </w:r>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val="en-US" w:eastAsia="zh-CN"/>
        </w:rPr>
        <w:t>5</w:t>
      </w:r>
      <w:r>
        <w:rPr>
          <w:rFonts w:hint="default" w:ascii="仿宋_GB2312" w:hAnsi="仿宋_GB2312" w:eastAsia="仿宋_GB2312" w:cs="仿宋_GB2312"/>
          <w:sz w:val="30"/>
          <w:szCs w:val="30"/>
          <w:lang w:val="en" w:eastAsia="zh-CN"/>
        </w:rPr>
        <w:t>5.57</w:t>
      </w:r>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val="en-US" w:eastAsia="zh-CN"/>
        </w:rPr>
        <w:t>1</w:t>
      </w:r>
      <w:r>
        <w:rPr>
          <w:rFonts w:hint="default" w:ascii="仿宋_GB2312" w:hAnsi="仿宋_GB2312" w:eastAsia="仿宋_GB2312" w:cs="仿宋_GB2312"/>
          <w:sz w:val="30"/>
          <w:szCs w:val="30"/>
          <w:lang w:val="en" w:eastAsia="zh-CN"/>
        </w:rPr>
        <w:t>8.6</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w:t>
      </w:r>
      <w:r>
        <w:rPr>
          <w:rFonts w:hint="default" w:ascii="仿宋_GB2312" w:hAnsi="仿宋_GB2312" w:eastAsia="仿宋_GB2312" w:cs="仿宋_GB2312"/>
          <w:sz w:val="30"/>
          <w:szCs w:val="30"/>
          <w:lang w:val="en"/>
        </w:rPr>
        <w:t>0.31</w:t>
      </w:r>
      <w:r>
        <w:rPr>
          <w:rFonts w:hint="eastAsia" w:ascii="仿宋_GB2312" w:hAnsi="仿宋_GB2312" w:eastAsia="仿宋_GB2312" w:cs="仿宋_GB2312"/>
          <w:sz w:val="30"/>
          <w:szCs w:val="30"/>
        </w:rPr>
        <w:t>万元+</w:t>
      </w:r>
      <w:r>
        <w:rPr>
          <w:rFonts w:hint="default" w:ascii="仿宋_GB2312" w:hAnsi="仿宋_GB2312" w:eastAsia="仿宋_GB2312" w:cs="仿宋_GB2312"/>
          <w:sz w:val="30"/>
          <w:szCs w:val="30"/>
          <w:lang w:val="en"/>
        </w:rPr>
        <w:t>55.57</w:t>
      </w:r>
      <w:r>
        <w:rPr>
          <w:rFonts w:hint="eastAsia" w:ascii="仿宋_GB2312" w:hAnsi="仿宋_GB2312" w:eastAsia="仿宋_GB2312" w:cs="仿宋_GB2312"/>
          <w:sz w:val="30"/>
          <w:szCs w:val="30"/>
        </w:rPr>
        <w:t>万元+</w:t>
      </w:r>
      <w:r>
        <w:rPr>
          <w:rFonts w:hint="default" w:ascii="仿宋_GB2312" w:hAnsi="仿宋_GB2312" w:eastAsia="仿宋_GB2312" w:cs="仿宋_GB2312"/>
          <w:sz w:val="30"/>
          <w:szCs w:val="30"/>
          <w:lang w:val="en"/>
        </w:rPr>
        <w:t>18.6</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万元）＝</w:t>
      </w:r>
      <w:r>
        <w:rPr>
          <w:rFonts w:hint="default" w:ascii="仿宋_GB2312" w:hAnsi="仿宋_GB2312" w:eastAsia="仿宋_GB2312" w:cs="仿宋_GB2312"/>
          <w:sz w:val="30"/>
          <w:szCs w:val="30"/>
          <w:lang w:val="en"/>
        </w:rPr>
        <w:t>100</w:t>
      </w:r>
      <w:r>
        <w:rPr>
          <w:rFonts w:hint="eastAsia" w:ascii="仿宋_GB2312" w:hAnsi="仿宋_GB2312" w:eastAsia="仿宋_GB2312" w:cs="仿宋_GB2312"/>
          <w:sz w:val="30"/>
          <w:szCs w:val="30"/>
        </w:rPr>
        <w:t>%，根据评分标准，本单位该项指标得</w:t>
      </w:r>
      <w:r>
        <w:rPr>
          <w:rFonts w:hint="default" w:ascii="仿宋_GB2312" w:hAnsi="仿宋_GB2312" w:eastAsia="仿宋_GB2312" w:cs="仿宋_GB2312"/>
          <w:sz w:val="30"/>
          <w:szCs w:val="30"/>
          <w:lang w:val="en"/>
        </w:rPr>
        <w:t>5</w:t>
      </w:r>
      <w:r>
        <w:rPr>
          <w:rFonts w:hint="eastAsia" w:ascii="仿宋_GB2312" w:hAnsi="仿宋_GB2312" w:eastAsia="仿宋_GB2312" w:cs="仿宋_GB2312"/>
          <w:sz w:val="30"/>
          <w:szCs w:val="30"/>
        </w:rPr>
        <w:t>分。</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②预算调整率（5分）：本单位202</w:t>
      </w:r>
      <w:r>
        <w:rPr>
          <w:rFonts w:hint="default" w:ascii="仿宋_GB2312" w:hAnsi="仿宋_GB2312" w:eastAsia="仿宋_GB2312" w:cs="仿宋_GB2312"/>
          <w:sz w:val="30"/>
          <w:szCs w:val="30"/>
          <w:lang w:val="en"/>
        </w:rPr>
        <w:t>1</w:t>
      </w:r>
      <w:r>
        <w:rPr>
          <w:rFonts w:hint="eastAsia" w:ascii="仿宋_GB2312" w:hAnsi="仿宋_GB2312" w:eastAsia="仿宋_GB2312" w:cs="仿宋_GB2312"/>
          <w:sz w:val="30"/>
          <w:szCs w:val="30"/>
        </w:rPr>
        <w:t>年预算追加</w:t>
      </w:r>
      <w:r>
        <w:rPr>
          <w:rFonts w:hint="eastAsia" w:ascii="仿宋_GB2312" w:hAnsi="仿宋_GB2312" w:eastAsia="仿宋_GB2312" w:cs="仿宋_GB2312"/>
          <w:sz w:val="30"/>
          <w:szCs w:val="30"/>
          <w:lang w:val="en-US" w:eastAsia="zh-CN"/>
        </w:rPr>
        <w:t>1</w:t>
      </w:r>
      <w:r>
        <w:rPr>
          <w:rFonts w:hint="default" w:ascii="仿宋_GB2312" w:hAnsi="仿宋_GB2312" w:eastAsia="仿宋_GB2312" w:cs="仿宋_GB2312"/>
          <w:sz w:val="30"/>
          <w:szCs w:val="30"/>
          <w:lang w:val="en" w:eastAsia="zh-CN"/>
        </w:rPr>
        <w:t>8.6</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万元，在职人员各项奖励金</w:t>
      </w:r>
      <w:r>
        <w:rPr>
          <w:rFonts w:hint="eastAsia" w:ascii="仿宋_GB2312" w:hAnsi="仿宋_GB2312" w:eastAsia="仿宋_GB2312" w:cs="仿宋_GB2312"/>
          <w:sz w:val="30"/>
          <w:szCs w:val="30"/>
          <w:lang w:eastAsia="zh-CN"/>
        </w:rPr>
        <w:t>及工资正常晋升</w:t>
      </w:r>
      <w:r>
        <w:rPr>
          <w:rFonts w:hint="eastAsia" w:ascii="仿宋_GB2312" w:hAnsi="仿宋_GB2312" w:eastAsia="仿宋_GB2312" w:cs="仿宋_GB2312"/>
          <w:sz w:val="30"/>
          <w:szCs w:val="30"/>
        </w:rPr>
        <w:t>追加预算</w:t>
      </w:r>
      <w:r>
        <w:rPr>
          <w:rFonts w:hint="eastAsia" w:ascii="仿宋_GB2312" w:hAnsi="仿宋_GB2312" w:eastAsia="仿宋_GB2312" w:cs="仿宋_GB2312"/>
          <w:sz w:val="30"/>
          <w:szCs w:val="30"/>
          <w:lang w:val="en-US" w:eastAsia="zh-CN"/>
        </w:rPr>
        <w:t>1</w:t>
      </w:r>
      <w:r>
        <w:rPr>
          <w:rFonts w:hint="default" w:ascii="仿宋_GB2312" w:hAnsi="仿宋_GB2312" w:eastAsia="仿宋_GB2312" w:cs="仿宋_GB2312"/>
          <w:sz w:val="30"/>
          <w:szCs w:val="30"/>
          <w:lang w:val="en" w:eastAsia="zh-CN"/>
        </w:rPr>
        <w:t>8.6</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万元，这几项属落实政策追</w:t>
      </w:r>
      <w:r>
        <w:rPr>
          <w:rFonts w:hint="eastAsia" w:ascii="仿宋_GB2312" w:hAnsi="仿宋_GB2312" w:eastAsia="仿宋_GB2312" w:cs="仿宋_GB2312"/>
          <w:sz w:val="30"/>
          <w:szCs w:val="30"/>
          <w:lang w:eastAsia="zh-CN"/>
        </w:rPr>
        <w:t>加不算</w:t>
      </w:r>
      <w:r>
        <w:rPr>
          <w:rFonts w:hint="eastAsia" w:ascii="仿宋_GB2312" w:hAnsi="仿宋_GB2312" w:eastAsia="仿宋_GB2312" w:cs="仿宋_GB2312"/>
          <w:sz w:val="30"/>
          <w:szCs w:val="30"/>
        </w:rPr>
        <w:t>追加预算</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预算调整率＝（预算调整数÷预算数）×100%＝（万元÷万元）×100%＝%＜10%，根据评分标准，本单位该项指标得满分</w:t>
      </w:r>
      <w:r>
        <w:rPr>
          <w:rFonts w:hint="default" w:ascii="仿宋_GB2312" w:hAnsi="仿宋_GB2312" w:eastAsia="仿宋_GB2312" w:cs="仿宋_GB2312"/>
          <w:sz w:val="30"/>
          <w:szCs w:val="30"/>
          <w:lang w:val="en"/>
        </w:rPr>
        <w:t>5</w:t>
      </w:r>
      <w:r>
        <w:rPr>
          <w:rFonts w:hint="eastAsia" w:ascii="仿宋_GB2312" w:hAnsi="仿宋_GB2312" w:eastAsia="仿宋_GB2312" w:cs="仿宋_GB2312"/>
          <w:sz w:val="30"/>
          <w:szCs w:val="30"/>
        </w:rPr>
        <w:t>分。</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③新建楼堂馆所面积控制率（1分）：202</w:t>
      </w:r>
      <w:r>
        <w:rPr>
          <w:rFonts w:hint="default" w:ascii="仿宋_GB2312" w:hAnsi="仿宋_GB2312" w:eastAsia="仿宋_GB2312" w:cs="仿宋_GB2312"/>
          <w:sz w:val="30"/>
          <w:szCs w:val="30"/>
          <w:lang w:val="en"/>
        </w:rPr>
        <w:t>1</w:t>
      </w:r>
      <w:r>
        <w:rPr>
          <w:rFonts w:hint="eastAsia" w:ascii="仿宋_GB2312" w:hAnsi="仿宋_GB2312" w:eastAsia="仿宋_GB2312" w:cs="仿宋_GB2312"/>
          <w:sz w:val="30"/>
          <w:szCs w:val="30"/>
        </w:rPr>
        <w:t>年本单位无完工的新建楼堂馆所，根据评分标准，本单位该项指标得满分1分。</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④新建楼堂馆所投资概算控制率（1分）：202</w:t>
      </w:r>
      <w:r>
        <w:rPr>
          <w:rFonts w:hint="default" w:ascii="仿宋_GB2312" w:hAnsi="仿宋_GB2312" w:eastAsia="仿宋_GB2312" w:cs="仿宋_GB2312"/>
          <w:sz w:val="30"/>
          <w:szCs w:val="30"/>
          <w:lang w:val="en"/>
        </w:rPr>
        <w:t>1</w:t>
      </w:r>
      <w:r>
        <w:rPr>
          <w:rFonts w:hint="eastAsia" w:ascii="仿宋_GB2312" w:hAnsi="仿宋_GB2312" w:eastAsia="仿宋_GB2312" w:cs="仿宋_GB2312"/>
          <w:sz w:val="30"/>
          <w:szCs w:val="30"/>
        </w:rPr>
        <w:t>年本单位无完工的新建楼堂馆所，根据评分标准，本单位该项指标得满分1分。</w:t>
      </w:r>
    </w:p>
    <w:p>
      <w:pPr>
        <w:spacing w:line="560" w:lineRule="exact"/>
        <w:ind w:firstLine="300" w:firstLineChars="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（2）预算管理情况</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①公用经费控制率（8分）：202</w:t>
      </w:r>
      <w:r>
        <w:rPr>
          <w:rFonts w:hint="default" w:ascii="仿宋_GB2312" w:hAnsi="仿宋_GB2312" w:eastAsia="仿宋_GB2312" w:cs="仿宋_GB2312"/>
          <w:sz w:val="30"/>
          <w:szCs w:val="30"/>
          <w:lang w:val="en"/>
        </w:rPr>
        <w:t>1</w:t>
      </w:r>
      <w:r>
        <w:rPr>
          <w:rFonts w:hint="eastAsia" w:ascii="仿宋_GB2312" w:hAnsi="仿宋_GB2312" w:eastAsia="仿宋_GB2312" w:cs="仿宋_GB2312"/>
          <w:sz w:val="30"/>
          <w:szCs w:val="30"/>
        </w:rPr>
        <w:t>年度本单位实际公用经费支出为</w:t>
      </w:r>
      <w:r>
        <w:rPr>
          <w:rFonts w:hint="eastAsia" w:ascii="仿宋_GB2312" w:hAnsi="仿宋_GB2312" w:eastAsia="仿宋_GB2312" w:cs="仿宋_GB2312"/>
          <w:sz w:val="30"/>
          <w:szCs w:val="30"/>
          <w:lang w:val="en-US" w:eastAsia="zh-CN"/>
        </w:rPr>
        <w:t>1</w:t>
      </w:r>
      <w:r>
        <w:rPr>
          <w:rFonts w:hint="default" w:ascii="仿宋_GB2312" w:hAnsi="仿宋_GB2312" w:eastAsia="仿宋_GB2312" w:cs="仿宋_GB2312"/>
          <w:sz w:val="30"/>
          <w:szCs w:val="30"/>
          <w:lang w:val="en" w:eastAsia="zh-CN"/>
        </w:rPr>
        <w:t>0</w:t>
      </w:r>
      <w:r>
        <w:rPr>
          <w:rFonts w:hint="eastAsia" w:ascii="仿宋_GB2312" w:hAnsi="仿宋_GB2312" w:eastAsia="仿宋_GB2312" w:cs="仿宋_GB2312"/>
          <w:sz w:val="30"/>
          <w:szCs w:val="30"/>
        </w:rPr>
        <w:t>万元，年初预算安排公用经费为</w:t>
      </w:r>
      <w:r>
        <w:rPr>
          <w:rFonts w:hint="eastAsia" w:ascii="仿宋_GB2312" w:hAnsi="仿宋_GB2312" w:eastAsia="仿宋_GB2312" w:cs="仿宋_GB2312"/>
          <w:sz w:val="30"/>
          <w:szCs w:val="30"/>
          <w:lang w:val="en-US" w:eastAsia="zh-CN"/>
        </w:rPr>
        <w:t>13.10</w:t>
      </w:r>
      <w:r>
        <w:rPr>
          <w:rFonts w:hint="eastAsia" w:ascii="仿宋_GB2312" w:hAnsi="仿宋_GB2312" w:eastAsia="仿宋_GB2312" w:cs="仿宋_GB2312"/>
          <w:sz w:val="30"/>
          <w:szCs w:val="30"/>
        </w:rPr>
        <w:t>万元。本单位公用经费控制率＝（实际支出公用经费总额÷预算安排公用经费总额）×100%＝（</w:t>
      </w:r>
      <w:r>
        <w:rPr>
          <w:rFonts w:hint="eastAsia" w:ascii="仿宋_GB2312" w:hAnsi="仿宋_GB2312" w:eastAsia="仿宋_GB2312" w:cs="仿宋_GB2312"/>
          <w:sz w:val="30"/>
          <w:szCs w:val="30"/>
          <w:lang w:val="en-US" w:eastAsia="zh-CN"/>
        </w:rPr>
        <w:t>12.52</w:t>
      </w:r>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val="en-US" w:eastAsia="zh-CN"/>
        </w:rPr>
        <w:t>13.10</w:t>
      </w:r>
      <w:r>
        <w:rPr>
          <w:rFonts w:hint="eastAsia" w:ascii="仿宋_GB2312" w:hAnsi="仿宋_GB2312" w:eastAsia="仿宋_GB2312" w:cs="仿宋_GB2312"/>
          <w:sz w:val="30"/>
          <w:szCs w:val="30"/>
        </w:rPr>
        <w:t>万元）×100%</w:t>
      </w:r>
      <w:r>
        <w:rPr>
          <w:rFonts w:hint="eastAsia" w:ascii="仿宋_GB2312" w:hAnsi="仿宋_GB2312" w:eastAsia="仿宋_GB2312" w:cs="仿宋_GB2312"/>
          <w:sz w:val="30"/>
          <w:szCs w:val="30"/>
          <w:lang w:val="en-US" w:eastAsia="zh-CN"/>
        </w:rPr>
        <w:t>=95.57%，</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%＜100%，根据评分标准，本单位该项指标得满分8分。</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②“三公经费”控制率（8分）：202</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年度本单位“三公经费”实际支出</w:t>
      </w:r>
      <w:r>
        <w:rPr>
          <w:rFonts w:hint="eastAsia" w:ascii="仿宋_GB2312" w:hAnsi="仿宋_GB2312" w:eastAsia="仿宋_GB2312" w:cs="仿宋_GB2312"/>
          <w:sz w:val="30"/>
          <w:szCs w:val="30"/>
          <w:lang w:val="en-US" w:eastAsia="zh-CN"/>
        </w:rPr>
        <w:t>0.06</w:t>
      </w:r>
      <w:r>
        <w:rPr>
          <w:rFonts w:hint="eastAsia" w:ascii="仿宋_GB2312" w:hAnsi="仿宋_GB2312" w:eastAsia="仿宋_GB2312" w:cs="仿宋_GB2312"/>
          <w:sz w:val="30"/>
          <w:szCs w:val="30"/>
        </w:rPr>
        <w:t>万元，本单位“三公经费”控制率=（“三公经费”实际支出数÷“三公经费”预算安排数）×100%＝（</w:t>
      </w:r>
      <w:r>
        <w:rPr>
          <w:rFonts w:hint="eastAsia" w:ascii="仿宋_GB2312" w:hAnsi="仿宋_GB2312" w:eastAsia="仿宋_GB2312" w:cs="仿宋_GB2312"/>
          <w:sz w:val="30"/>
          <w:szCs w:val="30"/>
          <w:lang w:val="en-US" w:eastAsia="zh-CN"/>
        </w:rPr>
        <w:t>0.06</w:t>
      </w:r>
      <w:bookmarkStart w:id="12" w:name="_GoBack"/>
      <w:bookmarkEnd w:id="12"/>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万元）×100%＝</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＜100%，根据评分标准，本单位该项指标得满分8分。</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③政府采购执行率（6分）：202</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年本单位年初政府采购预算为</w:t>
      </w:r>
      <w:r>
        <w:rPr>
          <w:rFonts w:hint="eastAsia" w:ascii="仿宋_GB2312" w:hAnsi="仿宋_GB2312" w:eastAsia="仿宋_GB2312" w:cs="仿宋_GB2312"/>
          <w:sz w:val="30"/>
          <w:szCs w:val="30"/>
          <w:lang w:val="en-US" w:eastAsia="zh-CN"/>
        </w:rPr>
        <w:t>3.52</w:t>
      </w:r>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eastAsia="zh-CN"/>
        </w:rPr>
        <w:t>预算调整后</w:t>
      </w:r>
      <w:r>
        <w:rPr>
          <w:rFonts w:hint="eastAsia" w:ascii="仿宋_GB2312" w:hAnsi="仿宋_GB2312" w:eastAsia="仿宋_GB2312" w:cs="仿宋_GB2312"/>
          <w:sz w:val="30"/>
          <w:szCs w:val="30"/>
          <w:lang w:val="en-US" w:eastAsia="zh-CN"/>
        </w:rPr>
        <w:t>1.53万元，</w:t>
      </w:r>
      <w:r>
        <w:rPr>
          <w:rFonts w:hint="eastAsia" w:ascii="仿宋_GB2312" w:hAnsi="仿宋_GB2312" w:eastAsia="仿宋_GB2312" w:cs="仿宋_GB2312"/>
          <w:sz w:val="30"/>
          <w:szCs w:val="30"/>
        </w:rPr>
        <w:t>202</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年实际政府采购金额为</w:t>
      </w:r>
      <w:r>
        <w:rPr>
          <w:rFonts w:hint="eastAsia" w:ascii="仿宋_GB2312" w:hAnsi="仿宋_GB2312" w:eastAsia="仿宋_GB2312" w:cs="仿宋_GB2312"/>
          <w:sz w:val="30"/>
          <w:szCs w:val="30"/>
          <w:lang w:val="en-US" w:eastAsia="zh-CN"/>
        </w:rPr>
        <w:t>1.53</w:t>
      </w:r>
      <w:r>
        <w:rPr>
          <w:rFonts w:hint="eastAsia" w:ascii="仿宋_GB2312" w:hAnsi="仿宋_GB2312" w:eastAsia="仿宋_GB2312" w:cs="仿宋_GB2312"/>
          <w:sz w:val="30"/>
          <w:szCs w:val="30"/>
        </w:rPr>
        <w:t>万元（其中</w:t>
      </w:r>
      <w:r>
        <w:rPr>
          <w:rFonts w:hint="eastAsia" w:ascii="仿宋_GB2312" w:hAnsi="仿宋_GB2312" w:eastAsia="仿宋_GB2312" w:cs="仿宋_GB2312"/>
          <w:sz w:val="30"/>
          <w:szCs w:val="30"/>
          <w:lang w:eastAsia="zh-CN"/>
        </w:rPr>
        <w:t>其他办公用品及类似物品</w:t>
      </w:r>
      <w:r>
        <w:rPr>
          <w:rFonts w:hint="eastAsia" w:ascii="仿宋_GB2312" w:hAnsi="仿宋_GB2312" w:eastAsia="仿宋_GB2312" w:cs="仿宋_GB2312"/>
          <w:sz w:val="30"/>
          <w:szCs w:val="30"/>
          <w:lang w:val="en-US" w:eastAsia="zh-CN"/>
        </w:rPr>
        <w:t>1.05万元资本性支出0.48万元</w:t>
      </w:r>
      <w:r>
        <w:rPr>
          <w:rFonts w:hint="eastAsia" w:ascii="仿宋_GB2312" w:hAnsi="仿宋_GB2312" w:eastAsia="仿宋_GB2312" w:cs="仿宋_GB2312"/>
          <w:sz w:val="30"/>
          <w:szCs w:val="30"/>
        </w:rPr>
        <w:t>）。本单位政府采购执行率=（实际政府采购金额÷政府采购预算数）×100%＝（</w:t>
      </w:r>
      <w:r>
        <w:rPr>
          <w:rFonts w:hint="eastAsia" w:ascii="仿宋_GB2312" w:hAnsi="仿宋_GB2312" w:eastAsia="仿宋_GB2312" w:cs="仿宋_GB2312"/>
          <w:sz w:val="30"/>
          <w:szCs w:val="30"/>
          <w:lang w:val="en-US" w:eastAsia="zh-CN"/>
        </w:rPr>
        <w:t>1.53</w:t>
      </w:r>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val="en-US" w:eastAsia="zh-CN"/>
        </w:rPr>
        <w:t>1.53</w:t>
      </w:r>
      <w:r>
        <w:rPr>
          <w:rFonts w:hint="eastAsia" w:ascii="仿宋_GB2312" w:hAnsi="仿宋_GB2312" w:eastAsia="仿宋_GB2312" w:cs="仿宋_GB2312"/>
          <w:sz w:val="30"/>
          <w:szCs w:val="30"/>
        </w:rPr>
        <w:t>万元）×100%＝100%，根据评分标准，本单位该项指标得满分6分。</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④管理制度健全性（8分）：本单位建立各项管理制度，有内部财务管理制度、会计核算制度等管理制度，有本部门厉行节约制度，相关管理制度合法、合规、完整，相关制度得到有效执行，根据评分标准，本单位该项指标得满分8分。</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⑤资金使用合规性（6分）：本单位支出符合国家财经法规和财务管理制度以及有关专项资金管理办法的规定，资金的拨付有完整的审批过程和手续，项目的支出按规定经过评估论证，支出符合部门预算批复的用途，资金使用无截留、挤占、挪用、虚列支出等情况，根据评分标准，本单位该项指标得满分6分。</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⑥预决算信息公开性（5分）：本单位202</w:t>
      </w:r>
      <w:r>
        <w:rPr>
          <w:rFonts w:hint="default" w:ascii="仿宋_GB2312" w:hAnsi="仿宋_GB2312" w:eastAsia="仿宋_GB2312" w:cs="仿宋_GB2312"/>
          <w:sz w:val="30"/>
          <w:szCs w:val="30"/>
          <w:lang w:val="en"/>
        </w:rPr>
        <w:t>1</w:t>
      </w:r>
      <w:r>
        <w:rPr>
          <w:rFonts w:hint="eastAsia" w:ascii="仿宋_GB2312" w:hAnsi="仿宋_GB2312" w:eastAsia="仿宋_GB2312" w:cs="仿宋_GB2312"/>
          <w:sz w:val="30"/>
          <w:szCs w:val="30"/>
        </w:rPr>
        <w:t>年度预决算已按规定时限公开，基础数据信息和会计信息真实、完整，基础数据信息和汇集信息资料准确。根据评分标准，本单位该项指标得满分5分。</w:t>
      </w:r>
    </w:p>
    <w:p>
      <w:pPr>
        <w:spacing w:line="560" w:lineRule="exact"/>
        <w:ind w:firstLine="300" w:firstLineChars="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（3）资产管理情况　</w:t>
      </w:r>
    </w:p>
    <w:p>
      <w:pPr>
        <w:spacing w:line="560" w:lineRule="exact"/>
        <w:ind w:firstLine="300" w:firstLineChars="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①资产管理制度健全性（2分）：本单位已制定了资产管理制度，制定的资产管理制度合法、合规、完整，且资产管理制度得到了有效的执行。根据评分标准，本单位该项指标得满分2分。</w:t>
      </w:r>
    </w:p>
    <w:p>
      <w:pPr>
        <w:spacing w:line="560" w:lineRule="exact"/>
        <w:ind w:firstLine="300" w:firstLineChars="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②资产管理安全性（3分）：本单位资产保存完整，资产配置合理，资产处置规范，资产账务管理合规，账实相符，资产有偿使用收入能及时足额的上缴非税，根据评分标准，本单位该项指标得满分3分。</w:t>
      </w:r>
    </w:p>
    <w:p>
      <w:pPr>
        <w:spacing w:line="560" w:lineRule="exact"/>
        <w:ind w:firstLine="300" w:firstLineChars="1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③固定资产利用率（3分）：本单位202</w:t>
      </w:r>
      <w:r>
        <w:rPr>
          <w:rFonts w:hint="default" w:ascii="仿宋_GB2312" w:hAnsi="仿宋_GB2312" w:eastAsia="仿宋_GB2312" w:cs="仿宋_GB2312"/>
          <w:sz w:val="30"/>
          <w:szCs w:val="30"/>
          <w:lang w:val="en"/>
        </w:rPr>
        <w:t>1</w:t>
      </w:r>
      <w:r>
        <w:rPr>
          <w:rFonts w:hint="eastAsia" w:ascii="仿宋_GB2312" w:hAnsi="仿宋_GB2312" w:eastAsia="仿宋_GB2312" w:cs="仿宋_GB2312"/>
          <w:sz w:val="30"/>
          <w:szCs w:val="30"/>
        </w:rPr>
        <w:t>年度实际在用的固定资产总额为</w:t>
      </w:r>
      <w:r>
        <w:rPr>
          <w:rFonts w:hint="eastAsia" w:ascii="仿宋_GB2312" w:hAnsi="仿宋_GB2312" w:eastAsia="仿宋_GB2312" w:cs="仿宋_GB2312"/>
          <w:sz w:val="30"/>
          <w:szCs w:val="30"/>
          <w:lang w:val="en-US" w:eastAsia="zh-CN"/>
        </w:rPr>
        <w:t>1.</w:t>
      </w:r>
      <w:r>
        <w:rPr>
          <w:rFonts w:hint="default" w:ascii="仿宋_GB2312" w:hAnsi="仿宋_GB2312" w:eastAsia="仿宋_GB2312" w:cs="仿宋_GB2312"/>
          <w:sz w:val="30"/>
          <w:szCs w:val="30"/>
          <w:lang w:val="en" w:eastAsia="zh-CN"/>
        </w:rPr>
        <w:t>94</w:t>
      </w:r>
      <w:r>
        <w:rPr>
          <w:rFonts w:hint="eastAsia" w:ascii="仿宋_GB2312" w:hAnsi="仿宋_GB2312" w:eastAsia="仿宋_GB2312" w:cs="仿宋_GB2312"/>
          <w:sz w:val="30"/>
          <w:szCs w:val="30"/>
        </w:rPr>
        <w:t>万元，所有固定资产总额为</w:t>
      </w:r>
      <w:r>
        <w:rPr>
          <w:rFonts w:hint="eastAsia" w:ascii="仿宋_GB2312" w:hAnsi="仿宋_GB2312" w:eastAsia="仿宋_GB2312" w:cs="仿宋_GB2312"/>
          <w:sz w:val="30"/>
          <w:szCs w:val="30"/>
          <w:lang w:val="en-US" w:eastAsia="zh-CN"/>
        </w:rPr>
        <w:t>1.</w:t>
      </w:r>
      <w:r>
        <w:rPr>
          <w:rFonts w:hint="default" w:ascii="仿宋_GB2312" w:hAnsi="仿宋_GB2312" w:eastAsia="仿宋_GB2312" w:cs="仿宋_GB2312"/>
          <w:sz w:val="30"/>
          <w:szCs w:val="30"/>
          <w:lang w:val="en" w:eastAsia="zh-CN"/>
        </w:rPr>
        <w:t>94</w:t>
      </w:r>
      <w:r>
        <w:rPr>
          <w:rFonts w:hint="eastAsia" w:ascii="仿宋_GB2312" w:hAnsi="仿宋_GB2312" w:eastAsia="仿宋_GB2312" w:cs="仿宋_GB2312"/>
          <w:sz w:val="30"/>
          <w:szCs w:val="30"/>
        </w:rPr>
        <w:t>万元，固定资产利用率＝（实际在用固定资产总额÷所有固定资产总额）×100%＝（</w:t>
      </w:r>
      <w:r>
        <w:rPr>
          <w:rFonts w:hint="eastAsia" w:ascii="仿宋_GB2312" w:hAnsi="仿宋_GB2312" w:eastAsia="仿宋_GB2312" w:cs="仿宋_GB2312"/>
          <w:sz w:val="30"/>
          <w:szCs w:val="30"/>
          <w:lang w:val="en-US" w:eastAsia="zh-CN"/>
        </w:rPr>
        <w:t>1.</w:t>
      </w:r>
      <w:r>
        <w:rPr>
          <w:rFonts w:hint="default" w:ascii="仿宋_GB2312" w:hAnsi="仿宋_GB2312" w:eastAsia="仿宋_GB2312" w:cs="仿宋_GB2312"/>
          <w:sz w:val="30"/>
          <w:szCs w:val="30"/>
          <w:lang w:val="en" w:eastAsia="zh-CN"/>
        </w:rPr>
        <w:t>94</w:t>
      </w:r>
      <w:r>
        <w:rPr>
          <w:rFonts w:hint="eastAsia" w:ascii="仿宋_GB2312" w:hAnsi="仿宋_GB2312" w:eastAsia="仿宋_GB2312" w:cs="仿宋_GB2312"/>
          <w:sz w:val="30"/>
          <w:szCs w:val="30"/>
        </w:rPr>
        <w:t>万元÷</w:t>
      </w:r>
      <w:r>
        <w:rPr>
          <w:rFonts w:hint="eastAsia" w:ascii="仿宋_GB2312" w:hAnsi="仿宋_GB2312" w:eastAsia="仿宋_GB2312" w:cs="仿宋_GB2312"/>
          <w:sz w:val="30"/>
          <w:szCs w:val="30"/>
          <w:lang w:val="en-US" w:eastAsia="zh-CN"/>
        </w:rPr>
        <w:t>1.</w:t>
      </w:r>
      <w:r>
        <w:rPr>
          <w:rFonts w:hint="default" w:ascii="仿宋_GB2312" w:hAnsi="仿宋_GB2312" w:eastAsia="仿宋_GB2312" w:cs="仿宋_GB2312"/>
          <w:sz w:val="30"/>
          <w:szCs w:val="30"/>
          <w:lang w:val="en" w:eastAsia="zh-CN"/>
        </w:rPr>
        <w:t>94</w:t>
      </w:r>
      <w:r>
        <w:rPr>
          <w:rFonts w:hint="eastAsia" w:ascii="仿宋_GB2312" w:hAnsi="仿宋_GB2312" w:eastAsia="仿宋_GB2312" w:cs="仿宋_GB2312"/>
          <w:sz w:val="30"/>
          <w:szCs w:val="30"/>
        </w:rPr>
        <w:t>万元）×100%＝100%，根据评分标准，本单位该项指标得满分3分。</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3、产出及效率</w:t>
      </w:r>
    </w:p>
    <w:p>
      <w:pPr>
        <w:keepNext w:val="0"/>
        <w:keepLines w:val="0"/>
        <w:pageBreakBefore w:val="0"/>
        <w:widowControl w:val="0"/>
        <w:kinsoku/>
        <w:wordWrap/>
        <w:overflowPunct/>
        <w:topLinePunct w:val="0"/>
        <w:autoSpaceDE/>
        <w:bidi w:val="0"/>
        <w:adjustRightInd/>
        <w:snapToGrid/>
        <w:spacing w:line="240"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（1）职责履行</w:t>
      </w:r>
    </w:p>
    <w:p>
      <w:pPr>
        <w:keepNext w:val="0"/>
        <w:keepLines w:val="0"/>
        <w:pageBreakBefore w:val="0"/>
        <w:widowControl w:val="0"/>
        <w:kinsoku/>
        <w:wordWrap/>
        <w:overflowPunct/>
        <w:topLinePunct w:val="0"/>
        <w:autoSpaceDE/>
        <w:autoSpaceDN w:val="0"/>
        <w:bidi w:val="0"/>
        <w:adjustRightInd/>
        <w:snapToGrid/>
        <w:spacing w:line="240" w:lineRule="auto"/>
        <w:ind w:firstLine="600" w:firstLineChars="200"/>
        <w:jc w:val="left"/>
        <w:textAlignment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重点工作实际完成率（8分）：根据评分标准，本单位该项指标得满分8分。</w:t>
      </w:r>
    </w:p>
    <w:p>
      <w:pPr>
        <w:spacing w:line="560" w:lineRule="exact"/>
        <w:ind w:firstLine="300" w:firstLineChars="1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（2）履行效益</w:t>
      </w:r>
    </w:p>
    <w:p>
      <w:pPr>
        <w:adjustRightInd w:val="0"/>
        <w:snapToGrid w:val="0"/>
        <w:spacing w:line="5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①经济效益和社会效益（6分）：</w:t>
      </w:r>
      <w:r>
        <w:rPr>
          <w:rFonts w:hint="eastAsia" w:ascii="仿宋_GB2312" w:hAnsi="仿宋_GB2312" w:eastAsia="仿宋_GB2312" w:cs="仿宋_GB2312"/>
          <w:sz w:val="30"/>
          <w:szCs w:val="30"/>
          <w:lang w:eastAsia="zh-CN"/>
        </w:rPr>
        <w:t>由于离退休老干部，因身体和因疫情未完成“关心下一代”活动</w:t>
      </w:r>
      <w:r>
        <w:rPr>
          <w:rFonts w:hint="eastAsia" w:ascii="仿宋_GB2312" w:hAnsi="仿宋_GB2312" w:eastAsia="仿宋_GB2312" w:cs="仿宋_GB2312"/>
          <w:sz w:val="30"/>
          <w:szCs w:val="30"/>
        </w:rPr>
        <w:t>根据评分标准，本单位该项指标得分</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分。</w:t>
      </w:r>
    </w:p>
    <w:p>
      <w:pPr>
        <w:pStyle w:val="4"/>
        <w:numPr>
          <w:ilvl w:val="0"/>
          <w:numId w:val="2"/>
        </w:numPr>
        <w:shd w:val="clear" w:color="auto" w:fill="FFFFFF"/>
        <w:spacing w:before="0" w:beforeAutospacing="0" w:after="0" w:afterAutospacing="0" w:line="450" w:lineRule="atLeast"/>
        <w:ind w:left="0" w:leftChars="0" w:right="300" w:firstLine="0" w:firstLineChars="0"/>
        <w:jc w:val="both"/>
        <w:rPr>
          <w:rFonts w:hint="eastAsia" w:ascii="宋体" w:hAnsi="宋体" w:eastAsia="宋体" w:cs="宋体"/>
          <w:color w:val="222222"/>
          <w:sz w:val="28"/>
          <w:szCs w:val="28"/>
          <w:lang w:eastAsia="zh-CN"/>
        </w:rPr>
      </w:pPr>
      <w:r>
        <w:rPr>
          <w:rFonts w:hint="eastAsia" w:ascii="仿宋_GB2312" w:hAnsi="仿宋_GB2312" w:eastAsia="仿宋_GB2312" w:cs="仿宋_GB2312"/>
          <w:sz w:val="30"/>
          <w:szCs w:val="30"/>
        </w:rPr>
        <w:t>②行政效能（6分）：本单位202</w:t>
      </w:r>
      <w:r>
        <w:rPr>
          <w:rFonts w:hint="default" w:ascii="仿宋_GB2312" w:hAnsi="仿宋_GB2312" w:eastAsia="仿宋_GB2312" w:cs="仿宋_GB2312"/>
          <w:sz w:val="30"/>
          <w:szCs w:val="30"/>
          <w:lang w:val="en"/>
        </w:rPr>
        <w:t>1</w:t>
      </w:r>
      <w:r>
        <w:rPr>
          <w:rFonts w:hint="eastAsia" w:ascii="仿宋_GB2312" w:hAnsi="仿宋_GB2312" w:eastAsia="仿宋_GB2312" w:cs="仿宋_GB2312"/>
          <w:sz w:val="30"/>
          <w:szCs w:val="30"/>
        </w:rPr>
        <w:t>年通过认真扎实开展党的群众路线实践活动，初步建立起以作风建设统领发展工作的长效机制，把作风建设、队伍建设、能力建设等内容纳入制度轨道，建立健全一系列管理规章制度，为改进文风作风，提升服务效能提供了制度保障，在促进部门改进文风会风，加强经费及资产管理，积极推动网上办事，提高行政效率，降低行政成本上都取得了良好效果。我们中心与局</w:t>
      </w:r>
      <w:r>
        <w:rPr>
          <w:rFonts w:hint="eastAsia" w:ascii="仿宋_GB2312" w:hAnsi="仿宋_GB2312" w:eastAsia="仿宋_GB2312" w:cs="仿宋_GB2312"/>
          <w:sz w:val="30"/>
          <w:szCs w:val="30"/>
          <w:lang w:eastAsia="zh-CN"/>
        </w:rPr>
        <w:t>老干</w:t>
      </w:r>
      <w:r>
        <w:rPr>
          <w:rFonts w:hint="eastAsia" w:ascii="仿宋_GB2312" w:hAnsi="仿宋_GB2312" w:eastAsia="仿宋_GB2312" w:cs="仿宋_GB2312"/>
          <w:sz w:val="30"/>
          <w:szCs w:val="30"/>
        </w:rPr>
        <w:t>科举办了</w:t>
      </w:r>
      <w:r>
        <w:rPr>
          <w:rFonts w:hint="eastAsia" w:ascii="宋体" w:hAnsi="宋体" w:eastAsia="宋体" w:cs="宋体"/>
          <w:color w:val="222222"/>
          <w:sz w:val="28"/>
          <w:szCs w:val="28"/>
          <w:lang w:eastAsia="zh-CN"/>
        </w:rPr>
        <w:t>新春座谈会</w:t>
      </w:r>
      <w:r>
        <w:rPr>
          <w:rFonts w:hint="eastAsia" w:ascii="宋体" w:hAnsi="宋体" w:eastAsia="宋体" w:cs="宋体"/>
          <w:color w:val="222222"/>
          <w:sz w:val="28"/>
          <w:szCs w:val="28"/>
        </w:rPr>
        <w:t>“</w:t>
      </w:r>
      <w:r>
        <w:rPr>
          <w:rFonts w:hint="eastAsia" w:ascii="宋体" w:hAnsi="宋体" w:eastAsia="宋体" w:cs="宋体"/>
          <w:color w:val="222222"/>
          <w:sz w:val="28"/>
          <w:szCs w:val="28"/>
          <w:lang w:eastAsia="zh-CN"/>
        </w:rPr>
        <w:t>展商务风采</w:t>
      </w:r>
      <w:r>
        <w:rPr>
          <w:rFonts w:hint="eastAsia" w:ascii="宋体" w:hAnsi="宋体" w:eastAsia="宋体" w:cs="宋体"/>
          <w:color w:val="222222"/>
          <w:sz w:val="28"/>
          <w:szCs w:val="28"/>
          <w:lang w:val="en-US" w:eastAsia="zh-CN"/>
        </w:rPr>
        <w:t>.</w:t>
      </w:r>
      <w:r>
        <w:rPr>
          <w:rFonts w:hint="eastAsia" w:ascii="宋体" w:hAnsi="宋体" w:eastAsia="宋体" w:cs="宋体"/>
          <w:color w:val="222222"/>
          <w:sz w:val="28"/>
          <w:szCs w:val="28"/>
          <w:lang w:eastAsia="zh-CN"/>
        </w:rPr>
        <w:t>品招商成果</w:t>
      </w:r>
      <w:r>
        <w:rPr>
          <w:rFonts w:hint="eastAsia" w:ascii="宋体" w:hAnsi="宋体" w:eastAsia="宋体" w:cs="宋体"/>
          <w:color w:val="222222"/>
          <w:sz w:val="28"/>
          <w:szCs w:val="28"/>
        </w:rPr>
        <w:t>”</w:t>
      </w:r>
      <w:r>
        <w:rPr>
          <w:rFonts w:hint="eastAsia" w:ascii="宋体" w:hAnsi="宋体" w:eastAsia="宋体" w:cs="宋体"/>
          <w:color w:val="222222"/>
          <w:sz w:val="28"/>
          <w:szCs w:val="28"/>
          <w:lang w:eastAsia="zh-CN"/>
        </w:rPr>
        <w:t>、“寿星乐</w:t>
      </w:r>
      <w:r>
        <w:rPr>
          <w:rFonts w:hint="eastAsia" w:ascii="宋体" w:hAnsi="宋体" w:eastAsia="宋体" w:cs="宋体"/>
          <w:color w:val="222222"/>
          <w:sz w:val="28"/>
          <w:szCs w:val="28"/>
          <w:lang w:val="en-US" w:eastAsia="zh-CN"/>
        </w:rPr>
        <w:t>.夕阳美</w:t>
      </w:r>
      <w:r>
        <w:rPr>
          <w:rFonts w:hint="eastAsia" w:ascii="宋体" w:hAnsi="宋体" w:eastAsia="宋体" w:cs="宋体"/>
          <w:color w:val="222222"/>
          <w:sz w:val="28"/>
          <w:szCs w:val="28"/>
          <w:lang w:eastAsia="zh-CN"/>
        </w:rPr>
        <w:t>”经典诵读会、“乐享银龄”等</w:t>
      </w:r>
      <w:r>
        <w:rPr>
          <w:rFonts w:hint="eastAsia" w:ascii="宋体" w:hAnsi="宋体" w:eastAsia="宋体" w:cs="宋体"/>
          <w:color w:val="222222"/>
          <w:sz w:val="28"/>
          <w:szCs w:val="28"/>
        </w:rPr>
        <w:t>5次大型活动</w:t>
      </w:r>
    </w:p>
    <w:p>
      <w:pPr>
        <w:adjustRightInd w:val="0"/>
        <w:snapToGrid w:val="0"/>
        <w:spacing w:line="52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。根据评分标准，本单位该项指标得分</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分。</w:t>
      </w:r>
    </w:p>
    <w:p>
      <w:pPr>
        <w:pStyle w:val="4"/>
        <w:numPr>
          <w:ilvl w:val="0"/>
          <w:numId w:val="2"/>
        </w:numPr>
        <w:shd w:val="clear" w:color="auto" w:fill="FFFFFF"/>
        <w:spacing w:before="0" w:beforeAutospacing="0" w:after="0" w:afterAutospacing="0" w:line="450" w:lineRule="atLeast"/>
        <w:ind w:left="0" w:leftChars="0" w:right="300" w:firstLine="0" w:firstLineChars="0"/>
        <w:jc w:val="both"/>
        <w:rPr>
          <w:rFonts w:hint="eastAsia" w:ascii="仿宋" w:hAnsi="仿宋" w:eastAsia="仿宋"/>
          <w:sz w:val="30"/>
          <w:szCs w:val="30"/>
        </w:rPr>
      </w:pPr>
      <w:r>
        <w:rPr>
          <w:rFonts w:hint="eastAsia" w:ascii="仿宋_GB2312" w:hAnsi="仿宋_GB2312" w:eastAsia="仿宋_GB2312" w:cs="仿宋_GB2312"/>
          <w:sz w:val="30"/>
          <w:szCs w:val="30"/>
        </w:rPr>
        <w:t>③社会公众或服务对象满意度（6分）：通过向社会群众、相关单位（服务对象）各部门内部员工发放问卷调查各10份，经统计对本单位的履职效果、厉行节约、改革和完善机关办事制度，缩短办事时间，提高工作效率等情况满意度分别为：服务对象为9</w:t>
      </w:r>
      <w:r>
        <w:rPr>
          <w:rFonts w:hint="default" w:ascii="仿宋_GB2312" w:hAnsi="仿宋_GB2312" w:eastAsia="仿宋_GB2312" w:cs="仿宋_GB2312"/>
          <w:sz w:val="30"/>
          <w:szCs w:val="30"/>
          <w:lang w:val="en"/>
        </w:rPr>
        <w:t>4</w:t>
      </w:r>
      <w:r>
        <w:rPr>
          <w:rFonts w:hint="eastAsia" w:ascii="仿宋_GB2312" w:hAnsi="仿宋_GB2312" w:eastAsia="仿宋_GB2312" w:cs="仿宋_GB2312"/>
          <w:sz w:val="30"/>
          <w:szCs w:val="30"/>
        </w:rPr>
        <w:t>%、社会公众为96%、部门内部员工为96%、社会公众或服务对象综合满意度＝（服务对象满意度×50%+社会公众满意度×40%+部门内部员工满意度×10%）＝9</w:t>
      </w:r>
      <w:r>
        <w:rPr>
          <w:rFonts w:hint="default" w:ascii="仿宋_GB2312" w:hAnsi="仿宋_GB2312" w:eastAsia="仿宋_GB2312" w:cs="仿宋_GB2312"/>
          <w:sz w:val="30"/>
          <w:szCs w:val="30"/>
          <w:lang w:val="en"/>
        </w:rPr>
        <w:t>5</w:t>
      </w:r>
      <w:r>
        <w:rPr>
          <w:rFonts w:hint="eastAsia" w:ascii="仿宋_GB2312" w:hAnsi="仿宋_GB2312" w:eastAsia="仿宋_GB2312" w:cs="仿宋_GB2312"/>
          <w:sz w:val="30"/>
          <w:szCs w:val="30"/>
        </w:rPr>
        <w:t>.1%，对我单位工作开展情况、社会效益等关注程度高，满意度较高，大于90%，根据评分标准，本单位该项指标得分</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分。</w:t>
      </w:r>
      <w:r>
        <w:rPr>
          <w:rFonts w:hint="eastAsia" w:ascii="仿宋" w:hAnsi="仿宋" w:eastAsia="仿宋"/>
          <w:sz w:val="30"/>
          <w:szCs w:val="30"/>
        </w:rPr>
        <w:t xml:space="preserve"> </w:t>
      </w:r>
    </w:p>
    <w:p>
      <w:pPr>
        <w:spacing w:line="560" w:lineRule="exact"/>
        <w:ind w:firstLine="640" w:firstLineChars="200"/>
        <w:rPr>
          <w:rFonts w:hint="eastAsia" w:ascii="黑体" w:hAnsi="黑体" w:eastAsia="黑体" w:cs="黑体"/>
          <w:b/>
          <w:sz w:val="32"/>
          <w:szCs w:val="32"/>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、绩效评价结论</w:t>
      </w:r>
      <w:r>
        <w:rPr>
          <w:rFonts w:hint="eastAsia" w:ascii="黑体" w:hAnsi="黑体" w:eastAsia="黑体" w:cs="黑体"/>
          <w:b w:val="0"/>
          <w:bCs/>
          <w:sz w:val="32"/>
          <w:szCs w:val="32"/>
        </w:rPr>
        <w:t xml:space="preserve">  </w:t>
      </w:r>
      <w:r>
        <w:rPr>
          <w:rFonts w:hint="eastAsia" w:ascii="黑体" w:hAnsi="黑体" w:eastAsia="黑体" w:cs="黑体"/>
          <w:b/>
          <w:sz w:val="32"/>
          <w:szCs w:val="32"/>
        </w:rPr>
        <w:t xml:space="preserve"> </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（1）绩效评价得分情况。根据评价指标体系测算，本单位部门整体支出绩效评价得分是：投入绩效为13分，过程绩效为5</w:t>
      </w:r>
      <w:r>
        <w:rPr>
          <w:rFonts w:hint="eastAsia" w:ascii="仿宋_GB2312" w:hAnsi="仿宋_GB2312" w:eastAsia="仿宋_GB2312" w:cs="仿宋_GB2312"/>
          <w:sz w:val="30"/>
          <w:szCs w:val="30"/>
          <w:lang w:val="en-US" w:eastAsia="zh-CN"/>
        </w:rPr>
        <w:t>7.1</w:t>
      </w:r>
      <w:r>
        <w:rPr>
          <w:rFonts w:hint="eastAsia" w:ascii="仿宋_GB2312" w:hAnsi="仿宋_GB2312" w:eastAsia="仿宋_GB2312" w:cs="仿宋_GB2312"/>
          <w:sz w:val="30"/>
          <w:szCs w:val="30"/>
        </w:rPr>
        <w:t>分，产出及效率绩效为2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分，总绩效为9</w:t>
      </w:r>
      <w:r>
        <w:rPr>
          <w:rFonts w:hint="eastAsia" w:ascii="仿宋_GB2312" w:hAnsi="仿宋_GB2312" w:eastAsia="仿宋_GB2312" w:cs="仿宋_GB2312"/>
          <w:sz w:val="30"/>
          <w:szCs w:val="30"/>
          <w:lang w:val="en-US" w:eastAsia="zh-CN"/>
        </w:rPr>
        <w:t>2.1</w:t>
      </w:r>
      <w:r>
        <w:rPr>
          <w:rFonts w:hint="eastAsia" w:ascii="仿宋_GB2312" w:hAnsi="仿宋_GB2312" w:eastAsia="仿宋_GB2312" w:cs="仿宋_GB2312"/>
          <w:sz w:val="30"/>
          <w:szCs w:val="30"/>
        </w:rPr>
        <w:t>分。评价结果等次为“优”。</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（2）存在绩效问题。</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①因落实国家政策和不可抗力因素，年初编制的预算不够准确，影响单位评分及评价等次。</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②通过向社会公众及服务对象发放调查问卷了解，社公众及服务对象对本单位工作的满意度还有待进一步提高。</w:t>
      </w:r>
    </w:p>
    <w:p>
      <w:pPr>
        <w:spacing w:line="600" w:lineRule="exact"/>
        <w:ind w:firstLine="640" w:firstLineChars="200"/>
        <w:rPr>
          <w:rFonts w:hint="eastAsia" w:ascii="黑体" w:hAnsi="黑体" w:eastAsia="黑体"/>
          <w:sz w:val="32"/>
          <w:szCs w:val="32"/>
        </w:rPr>
      </w:pPr>
      <w:r>
        <w:rPr>
          <w:rFonts w:eastAsia="黑体"/>
          <w:sz w:val="32"/>
          <w:szCs w:val="32"/>
        </w:rPr>
        <w:t>七、</w:t>
      </w:r>
      <w:r>
        <w:rPr>
          <w:rFonts w:hint="eastAsia" w:ascii="黑体" w:hAnsi="黑体" w:eastAsia="黑体"/>
          <w:sz w:val="32"/>
          <w:szCs w:val="32"/>
        </w:rPr>
        <w:t>综合评价情况及评价结论</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1、经验教训</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通过对202</w:t>
      </w:r>
      <w:r>
        <w:rPr>
          <w:rFonts w:hint="default" w:ascii="仿宋_GB2312" w:hAnsi="仿宋_GB2312" w:eastAsia="仿宋_GB2312" w:cs="仿宋_GB2312"/>
          <w:sz w:val="30"/>
          <w:szCs w:val="30"/>
          <w:lang w:val="en"/>
        </w:rPr>
        <w:t>1</w:t>
      </w:r>
      <w:r>
        <w:rPr>
          <w:rFonts w:hint="eastAsia" w:ascii="仿宋_GB2312" w:hAnsi="仿宋_GB2312" w:eastAsia="仿宋_GB2312" w:cs="仿宋_GB2312"/>
          <w:sz w:val="30"/>
          <w:szCs w:val="30"/>
        </w:rPr>
        <w:t>年度部门整体支出绩效自评，我们充分认识到推进预算绩效管理的重要意义：全面推进预算绩效管理，是深化行政体制改革的重要举措，是财政科学化、精细化管理的重要内容，对于加快经济发展方式转变和构建和谐社会，建设高效、责任、透明政府具有重要意见。部门预算应当遵循统筹兼顾、勤俭节约、量力而行、讲求绩效和收支平衡的原则。绩效管理不只是财政支出方面，而是要从年初预算制度工作抓起，在抓好财政支出的同时，要更加注重产出及效率，这样才能达到优化资源配置、控制节约成本、提高公共产品质量和公共服务水平的目的。在今后的工作中，要建立健全绩效问责机制，充分体现财政资金使用主体责任，形成“谁干事谁花钱，谁花钱谁担责”的权责机制。</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2、建议</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建议加强政策学习，提高思想认识。组织单位人员认真学习《预算法》等相关法规、制度，提高单位领导对全面预算管理的重视程度，增强财务人员的预算意识，坚持先有预算、后有支出，没有预算不得支出的支出理念。</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建议细化预算指标，提高预算科学性。预算编制前根据年度内单位可预见的工作任务，确定单位年度预算目标，细化预算指标，科学合理编制部门预算，推进预算编制科学化、准确化。年度预算编制后，加强预算执行管理，根据实际情况，定期做好预算执行分析，掌握预算执行进度，及时找出预算实际执行情况与预算目标之间存在的差异，采取有效措施纠正偏差，提高预算执行的时效性和均衡性，提高预算支出执行效率，为下一次科学、准确的编制部门预算积累经验。</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（3）建议优化绩效评价指标计分标准，改善评价计分标准的不合理性，让评价结果更加公平公正。</w:t>
      </w:r>
    </w:p>
    <w:p>
      <w:pPr>
        <w:spacing w:line="600" w:lineRule="exact"/>
        <w:ind w:firstLine="640" w:firstLineChars="200"/>
        <w:rPr>
          <w:rFonts w:ascii="仿宋_GB2312"/>
          <w:sz w:val="32"/>
          <w:szCs w:val="32"/>
        </w:rPr>
      </w:pPr>
    </w:p>
    <w:p/>
    <w:p/>
    <w:p>
      <w:pPr>
        <w:spacing w:line="560" w:lineRule="exact"/>
        <w:rPr>
          <w:rFonts w:hint="eastAsia"/>
        </w:rPr>
      </w:pPr>
    </w:p>
    <w:p/>
    <w:p>
      <w:pPr>
        <w:rPr>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00"/>
    <w:family w:val="modern"/>
    <w:pitch w:val="default"/>
    <w:sig w:usb0="00000000" w:usb1="00000000" w:usb2="0000001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TimesNewRoman">
    <w:altName w:val="Nimbus Roman No9 L"/>
    <w:panose1 w:val="00000000000000000000"/>
    <w:charset w:val="00"/>
    <w:family w:val="roman"/>
    <w:pitch w:val="default"/>
    <w:sig w:usb0="00000000" w:usb1="00000000" w:usb2="00000000"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399968"/>
    <w:multiLevelType w:val="singleLevel"/>
    <w:tmpl w:val="82399968"/>
    <w:lvl w:ilvl="0" w:tentative="0">
      <w:start w:val="2"/>
      <w:numFmt w:val="chineseCounting"/>
      <w:suff w:val="nothing"/>
      <w:lvlText w:val="（%1）"/>
      <w:lvlJc w:val="left"/>
      <w:rPr>
        <w:rFonts w:hint="eastAsia"/>
      </w:rPr>
    </w:lvl>
  </w:abstractNum>
  <w:abstractNum w:abstractNumId="1">
    <w:nsid w:val="D19C6252"/>
    <w:multiLevelType w:val="singleLevel"/>
    <w:tmpl w:val="D19C6252"/>
    <w:lvl w:ilvl="0" w:tentative="0">
      <w:start w:val="1"/>
      <w:numFmt w:val="chineseCounting"/>
      <w:lvlText w:val="（%1）"/>
      <w:lvlJc w:val="left"/>
      <w:rPr>
        <w:rFonts w:hint="eastAsia"/>
      </w:rPr>
    </w:lvl>
  </w:abstractNum>
  <w:abstractNum w:abstractNumId="2">
    <w:nsid w:val="EBFEDE25"/>
    <w:multiLevelType w:val="singleLevel"/>
    <w:tmpl w:val="EBFEDE25"/>
    <w:lvl w:ilvl="0" w:tentative="0">
      <w:start w:val="1"/>
      <w:numFmt w:val="decimal"/>
      <w:suff w:val="nothing"/>
      <w:lvlText w:val="%1、"/>
      <w:lvlJc w:val="left"/>
    </w:lvl>
  </w:abstractNum>
  <w:abstractNum w:abstractNumId="3">
    <w:nsid w:val="FAD57C77"/>
    <w:multiLevelType w:val="singleLevel"/>
    <w:tmpl w:val="FAD57C77"/>
    <w:lvl w:ilvl="0" w:tentative="0">
      <w:start w:val="6"/>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2MjFjNmJkNzUwYWM1NThkYWI2ODhjOTIyNjIyYWQifQ=="/>
  </w:docVars>
  <w:rsids>
    <w:rsidRoot w:val="00000000"/>
    <w:rsid w:val="0C0C7656"/>
    <w:rsid w:val="3BFB051E"/>
    <w:rsid w:val="3D5B3ABD"/>
    <w:rsid w:val="7D76280B"/>
    <w:rsid w:val="7EFF8F17"/>
    <w:rsid w:val="8B7DB5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99"/>
    <w:pPr>
      <w:ind w:left="420" w:leftChars="200"/>
    </w:pPr>
  </w:style>
  <w:style w:type="paragraph" w:styleId="3">
    <w:name w:val="Body Text"/>
    <w:basedOn w:val="1"/>
    <w:next w:val="1"/>
    <w:qFormat/>
    <w:uiPriority w:val="0"/>
    <w:pPr>
      <w:spacing w:after="120"/>
    </w:pPr>
    <w:rPr>
      <w:rFonts w:ascii="Times New Roman" w:hAnsi="Times New Roman" w:eastAsia="宋体" w:cs="Times New Roman"/>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Body Text First Indent"/>
    <w:basedOn w:val="3"/>
    <w:qFormat/>
    <w:uiPriority w:val="0"/>
    <w:pPr>
      <w:ind w:firstLine="420" w:firstLineChars="100"/>
    </w:pPr>
    <w:rPr>
      <w:rFonts w:ascii="Times New Roman" w:hAnsi="Times New Roman" w:eastAsia="宋体" w:cs="Times New Roman"/>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Body text|1"/>
    <w:basedOn w:val="1"/>
    <w:qFormat/>
    <w:uiPriority w:val="0"/>
    <w:pPr>
      <w:widowControl w:val="0"/>
      <w:shd w:val="clear" w:color="auto" w:fill="auto"/>
      <w:spacing w:line="430" w:lineRule="auto"/>
      <w:ind w:firstLine="400"/>
    </w:pPr>
    <w:rPr>
      <w:rFonts w:ascii="宋体" w:hAnsi="宋体" w:eastAsia="宋体" w:cs="宋体"/>
      <w:sz w:val="28"/>
      <w:szCs w:val="28"/>
      <w:u w:val="none"/>
      <w:shd w:val="clear" w:color="auto" w:fill="auto"/>
      <w:lang w:val="zh-TW" w:eastAsia="zh-TW" w:bidi="zh-TW"/>
    </w:rPr>
  </w:style>
  <w:style w:type="paragraph" w:customStyle="1" w:styleId="10">
    <w:name w:val="Body text|2"/>
    <w:basedOn w:val="1"/>
    <w:qFormat/>
    <w:uiPriority w:val="0"/>
    <w:pPr>
      <w:widowControl w:val="0"/>
      <w:shd w:val="clear" w:color="auto" w:fill="auto"/>
      <w:spacing w:after="500" w:line="536" w:lineRule="exact"/>
      <w:jc w:val="center"/>
    </w:pPr>
    <w:rPr>
      <w:rFonts w:ascii="宋体" w:hAnsi="宋体" w:eastAsia="宋体" w:cs="宋体"/>
      <w:sz w:val="40"/>
      <w:szCs w:val="40"/>
      <w:u w:val="none"/>
      <w:shd w:val="clear" w:color="auto" w:fill="auto"/>
      <w:lang w:val="zh-TW" w:eastAsia="zh-TW" w:bidi="zh-TW"/>
    </w:rPr>
  </w:style>
  <w:style w:type="paragraph" w:customStyle="1" w:styleId="11">
    <w:name w:val="Heading #3|1"/>
    <w:basedOn w:val="1"/>
    <w:qFormat/>
    <w:uiPriority w:val="0"/>
    <w:pPr>
      <w:widowControl w:val="0"/>
      <w:shd w:val="clear" w:color="auto" w:fill="auto"/>
      <w:spacing w:line="570" w:lineRule="exact"/>
      <w:ind w:firstLine="660"/>
      <w:outlineLvl w:val="2"/>
    </w:pPr>
    <w:rPr>
      <w:rFonts w:ascii="宋体" w:hAnsi="宋体" w:eastAsia="宋体" w:cs="宋体"/>
      <w:b/>
      <w:bCs/>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801</Words>
  <Characters>873</Characters>
  <Lines>0</Lines>
  <Paragraphs>0</Paragraphs>
  <TotalTime>6</TotalTime>
  <ScaleCrop>false</ScaleCrop>
  <LinksUpToDate>false</LinksUpToDate>
  <CharactersWithSpaces>878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kylin</cp:lastModifiedBy>
  <dcterms:modified xsi:type="dcterms:W3CDTF">2022-11-17T16:37:36Z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E72A43271E224ECAA694514B03186581</vt:lpwstr>
  </property>
</Properties>
</file>