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48"/>
          <w:szCs w:val="48"/>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48"/>
          <w:szCs w:val="48"/>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48"/>
          <w:szCs w:val="48"/>
          <w:shd w:val="clear" w:fill="FFFFFF"/>
        </w:rPr>
        <w:t>湘西土家族苗族自治州商务局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48"/>
          <w:szCs w:val="48"/>
          <w:shd w:val="clear" w:fill="FFFFFF"/>
          <w:lang w:eastAsia="zh-CN"/>
        </w:rPr>
        <w:t>2021年度</w:t>
      </w:r>
      <w:r>
        <w:rPr>
          <w:rFonts w:hint="eastAsia" w:ascii="宋体" w:hAnsi="宋体" w:eastAsia="宋体" w:cs="宋体"/>
          <w:b/>
          <w:bCs/>
          <w:i w:val="0"/>
          <w:iCs w:val="0"/>
          <w:caps w:val="0"/>
          <w:color w:val="333333"/>
          <w:spacing w:val="0"/>
          <w:sz w:val="48"/>
          <w:szCs w:val="48"/>
          <w:shd w:val="clear" w:fill="FFFFFF"/>
        </w:rPr>
        <w:t>部门整体支出绩效自评报告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spacing w:before="156" w:beforeLines="50" w:line="348" w:lineRule="auto"/>
        <w:ind w:firstLine="480" w:firstLineChars="150"/>
        <w:rPr>
          <w:rFonts w:hint="eastAsia" w:eastAsia="仿宋_GB2312"/>
          <w:sz w:val="32"/>
          <w:szCs w:val="32"/>
          <w:u w:val="single"/>
          <w:lang w:eastAsia="zh-CN"/>
        </w:rPr>
      </w:pPr>
      <w:r>
        <w:rPr>
          <w:rFonts w:hint="eastAsia" w:eastAsia="仿宋_GB2312"/>
          <w:sz w:val="32"/>
          <w:szCs w:val="32"/>
        </w:rPr>
        <w:t>部门(单位)名称（公章）：</w:t>
      </w:r>
      <w:r>
        <w:rPr>
          <w:rFonts w:hint="eastAsia" w:eastAsia="仿宋_GB2312"/>
          <w:sz w:val="32"/>
          <w:szCs w:val="32"/>
          <w:u w:val="single"/>
          <w:lang w:eastAsia="zh-CN"/>
        </w:rPr>
        <w:t>湘西土家族苗族自治州</w:t>
      </w:r>
      <w:r>
        <w:rPr>
          <w:rFonts w:hint="eastAsia" w:eastAsia="仿宋_GB2312"/>
          <w:sz w:val="32"/>
          <w:szCs w:val="32"/>
          <w:u w:val="single"/>
          <w:lang w:val="en-US" w:eastAsia="zh-CN"/>
        </w:rPr>
        <w:t>商务</w:t>
      </w:r>
      <w:r>
        <w:rPr>
          <w:rFonts w:hint="eastAsia" w:eastAsia="仿宋_GB2312"/>
          <w:sz w:val="32"/>
          <w:szCs w:val="32"/>
          <w:u w:val="single"/>
          <w:lang w:eastAsia="zh-CN"/>
        </w:rPr>
        <w:t>局</w:t>
      </w:r>
    </w:p>
    <w:p>
      <w:pPr>
        <w:spacing w:before="156" w:beforeLines="50" w:line="348" w:lineRule="auto"/>
        <w:ind w:firstLine="480" w:firstLineChars="150"/>
        <w:rPr>
          <w:rFonts w:hint="eastAsia" w:eastAsia="仿宋_GB2312"/>
          <w:sz w:val="32"/>
          <w:szCs w:val="32"/>
          <w:u w:val="single"/>
        </w:rPr>
      </w:pPr>
    </w:p>
    <w:p>
      <w:pPr>
        <w:spacing w:before="156" w:beforeLines="50" w:line="348" w:lineRule="auto"/>
        <w:ind w:firstLine="480" w:firstLineChars="150"/>
        <w:rPr>
          <w:rFonts w:hint="eastAsia" w:eastAsia="仿宋_GB2312"/>
          <w:spacing w:val="20"/>
          <w:sz w:val="32"/>
          <w:szCs w:val="32"/>
          <w:highlight w:val="none"/>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 xml:space="preserve"> </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703001</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spacing w:before="156" w:beforeLines="50" w:line="348" w:lineRule="auto"/>
        <w:ind w:firstLine="480"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u w:val="none"/>
          <w:lang w:eastAsia="zh-CN"/>
        </w:rPr>
        <w:t>湘西土家族苗族自治州商务局</w:t>
      </w:r>
      <w:r>
        <w:rPr>
          <w:rFonts w:hint="eastAsia" w:eastAsia="仿宋_GB2312"/>
          <w:sz w:val="32"/>
          <w:szCs w:val="32"/>
          <w:u w:val="none"/>
        </w:rPr>
        <w:t>绩效自评</w:t>
      </w:r>
    </w:p>
    <w:p>
      <w:pPr>
        <w:widowControl/>
        <w:ind w:firstLine="480" w:firstLineChars="150"/>
        <w:jc w:val="left"/>
        <w:rPr>
          <w:rFonts w:hint="eastAsia" w:eastAsia="仿宋_GB2312" w:cs="Arial"/>
          <w:kern w:val="0"/>
          <w:sz w:val="28"/>
          <w:szCs w:val="28"/>
        </w:rPr>
      </w:pPr>
      <w:r>
        <w:rPr>
          <w:rFonts w:hint="eastAsia" w:eastAsia="仿宋_GB2312"/>
          <w:sz w:val="32"/>
          <w:szCs w:val="32"/>
        </w:rPr>
        <w:t>评价机构：</w:t>
      </w:r>
      <w:r>
        <w:rPr>
          <w:rFonts w:hint="eastAsia" w:eastAsia="仿宋_GB2312"/>
          <w:sz w:val="32"/>
          <w:szCs w:val="32"/>
          <w:u w:val="none"/>
          <w:lang w:eastAsia="zh-CN"/>
        </w:rPr>
        <w:t>湘西土家族苗族自治州商务局</w:t>
      </w:r>
      <w:r>
        <w:rPr>
          <w:rFonts w:hint="eastAsia" w:eastAsia="仿宋_GB2312"/>
          <w:sz w:val="32"/>
          <w:szCs w:val="32"/>
        </w:rPr>
        <w:t xml:space="preserve">评价组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18"/>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0" w:firstLineChars="75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28"/>
          <w:szCs w:val="28"/>
          <w:shd w:val="clear" w:fill="FFFFFF"/>
        </w:rPr>
        <w:t>报告时间：</w:t>
      </w:r>
      <w:r>
        <w:rPr>
          <w:rFonts w:hint="eastAsia" w:ascii="宋体" w:hAnsi="宋体" w:eastAsia="宋体" w:cs="宋体"/>
          <w:i w:val="0"/>
          <w:iCs w:val="0"/>
          <w:caps w:val="0"/>
          <w:color w:val="333333"/>
          <w:spacing w:val="0"/>
          <w:sz w:val="32"/>
          <w:szCs w:val="32"/>
          <w:u w:val="single"/>
          <w:shd w:val="clear" w:fill="FFFFFF"/>
        </w:rPr>
        <w:t> 202</w:t>
      </w:r>
      <w:r>
        <w:rPr>
          <w:rFonts w:hint="eastAsia" w:ascii="宋体" w:hAnsi="宋体" w:eastAsia="宋体" w:cs="宋体"/>
          <w:i w:val="0"/>
          <w:iCs w:val="0"/>
          <w:caps w:val="0"/>
          <w:color w:val="333333"/>
          <w:spacing w:val="0"/>
          <w:sz w:val="32"/>
          <w:szCs w:val="32"/>
          <w:u w:val="single"/>
          <w:shd w:val="clear" w:fill="FFFFFF"/>
          <w:lang w:val="en-US" w:eastAsia="zh-CN"/>
        </w:rPr>
        <w:t>2</w:t>
      </w:r>
      <w:r>
        <w:rPr>
          <w:rFonts w:hint="eastAsia" w:ascii="宋体" w:hAnsi="宋体" w:eastAsia="宋体" w:cs="宋体"/>
          <w:i w:val="0"/>
          <w:iCs w:val="0"/>
          <w:caps w:val="0"/>
          <w:color w:val="333333"/>
          <w:spacing w:val="0"/>
          <w:sz w:val="32"/>
          <w:szCs w:val="32"/>
          <w:u w:val="single"/>
          <w:shd w:val="clear" w:fill="FFFFFF"/>
        </w:rPr>
        <w:t xml:space="preserve">   </w:t>
      </w:r>
      <w:r>
        <w:rPr>
          <w:rFonts w:hint="eastAsia" w:ascii="宋体" w:hAnsi="宋体" w:eastAsia="宋体" w:cs="宋体"/>
          <w:i w:val="0"/>
          <w:iCs w:val="0"/>
          <w:caps w:val="0"/>
          <w:color w:val="333333"/>
          <w:spacing w:val="0"/>
          <w:sz w:val="32"/>
          <w:szCs w:val="32"/>
          <w:shd w:val="clear" w:fill="FFFFFF"/>
        </w:rPr>
        <w:t>年</w:t>
      </w:r>
      <w:r>
        <w:rPr>
          <w:rFonts w:hint="eastAsia" w:ascii="宋体" w:hAnsi="宋体" w:eastAsia="宋体" w:cs="宋体"/>
          <w:i w:val="0"/>
          <w:iCs w:val="0"/>
          <w:caps w:val="0"/>
          <w:color w:val="333333"/>
          <w:spacing w:val="0"/>
          <w:sz w:val="32"/>
          <w:szCs w:val="32"/>
          <w:u w:val="single"/>
          <w:shd w:val="clear" w:fill="FFFFFF"/>
        </w:rPr>
        <w:t>  6 </w:t>
      </w:r>
      <w:r>
        <w:rPr>
          <w:rFonts w:hint="eastAsia" w:ascii="宋体" w:hAnsi="宋体" w:eastAsia="宋体" w:cs="宋体"/>
          <w:i w:val="0"/>
          <w:iCs w:val="0"/>
          <w:caps w:val="0"/>
          <w:color w:val="333333"/>
          <w:spacing w:val="0"/>
          <w:sz w:val="32"/>
          <w:szCs w:val="32"/>
          <w:shd w:val="clear" w:fill="FFFFFF"/>
        </w:rPr>
        <w:t>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right="0"/>
        <w:textAlignment w:val="center"/>
        <w:rPr>
          <w:rFonts w:hint="eastAsia" w:ascii="宋体" w:hAnsi="宋体" w:eastAsia="宋体" w:cs="宋体"/>
          <w:i w:val="0"/>
          <w:iCs w:val="0"/>
          <w:caps w:val="0"/>
          <w:color w:val="333333"/>
          <w:spacing w:val="0"/>
          <w:sz w:val="16"/>
          <w:szCs w:val="16"/>
        </w:rPr>
      </w:pPr>
    </w:p>
    <w:tbl>
      <w:tblPr>
        <w:tblStyle w:val="10"/>
        <w:tblW w:w="9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02"/>
        <w:gridCol w:w="1451"/>
        <w:gridCol w:w="495"/>
        <w:gridCol w:w="792"/>
        <w:gridCol w:w="23"/>
        <w:gridCol w:w="1176"/>
        <w:gridCol w:w="941"/>
        <w:gridCol w:w="245"/>
        <w:gridCol w:w="768"/>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b/>
                <w:bCs/>
                <w:sz w:val="28"/>
                <w:szCs w:val="28"/>
              </w:rPr>
              <w:t>一、部门（单位）基本概况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联系人</w:t>
            </w: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彭 艳</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联系电话</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0743-8528269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人员编制</w:t>
            </w: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71</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实有人数</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职能职责概述</w:t>
            </w:r>
          </w:p>
        </w:tc>
        <w:tc>
          <w:tcPr>
            <w:tcW w:w="8003"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州商务局为正处级全额拨款（行政）单位,事业单位法人证书统一社会信用代码114331000066864290，办公地址：湖南省湘西土家族苗族自治州吉首市世纪大道3号。局机关内设办公室（法规科）、财务科、招商联络科、承接产业转移科、市场运行调节科、市场体系建设科、流通业发展科、电子商务科、对外贸易科、对外经济合作科、口岸科、人事科、机关党委、离退休人员管理服务科。单位下设3</w:t>
            </w:r>
            <w:r>
              <w:rPr>
                <w:rFonts w:hint="eastAsia" w:ascii="仿宋" w:hAnsi="仿宋" w:eastAsia="仿宋" w:cs="仿宋"/>
                <w:spacing w:val="0"/>
                <w:sz w:val="28"/>
                <w:szCs w:val="28"/>
              </w:rPr>
              <w:t>个二级机构</w:t>
            </w:r>
            <w:r>
              <w:rPr>
                <w:rFonts w:hint="eastAsia" w:ascii="仿宋" w:hAnsi="仿宋" w:eastAsia="仿宋" w:cs="仿宋"/>
                <w:sz w:val="28"/>
                <w:szCs w:val="28"/>
              </w:rPr>
              <w:t>,其中独立核算二级单位3个：湘西州商务局机关老干服务中心、湘西土家族苗族自治州投资促进事务局、湘西土家族苗族自治州投资贸易促进中心。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州商务局的主要职责：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一）贯彻执行国家和省国内外贸易、国际经济合作及区域经济合作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75"/>
              <w:textAlignment w:val="center"/>
              <w:rPr>
                <w:rFonts w:hint="eastAsia" w:ascii="仿宋" w:hAnsi="仿宋" w:eastAsia="仿宋" w:cs="仿宋"/>
                <w:sz w:val="28"/>
                <w:szCs w:val="28"/>
              </w:rPr>
            </w:pPr>
            <w:r>
              <w:rPr>
                <w:rFonts w:hint="eastAsia" w:ascii="仿宋" w:hAnsi="仿宋" w:eastAsia="仿宋" w:cs="仿宋"/>
                <w:sz w:val="28"/>
                <w:szCs w:val="28"/>
              </w:rPr>
              <w:t>（二）负责推进流通产业结构调整，指导流通企业改革，促进商贸服务业和社区商业发展，提出促进商贸中小企业发展的政策建议，推动流通标准化和连锁经营、</w:t>
            </w:r>
            <w:r>
              <w:rPr>
                <w:rFonts w:hint="eastAsia" w:ascii="仿宋" w:hAnsi="仿宋" w:eastAsia="仿宋" w:cs="仿宋"/>
                <w:color w:val="000000"/>
                <w:sz w:val="28"/>
                <w:szCs w:val="28"/>
              </w:rPr>
              <w:t>商业特许经营、</w:t>
            </w:r>
            <w:r>
              <w:rPr>
                <w:rFonts w:hint="eastAsia" w:ascii="仿宋" w:hAnsi="仿宋" w:eastAsia="仿宋" w:cs="仿宋"/>
                <w:sz w:val="28"/>
                <w:szCs w:val="28"/>
              </w:rPr>
              <w:t>物流配送、电子商务等现代流通方式的发展。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（四）参与指导协调整顿和规范市场经济秩序工作，拟订规范市场秩序的政策；推动商务领域信用建设，指导商业信用销售，建立市场诚信公共服务平台；按有关规定对特殊流通行业进行监督</w:t>
            </w:r>
            <w:r>
              <w:rPr>
                <w:rStyle w:val="12"/>
                <w:rFonts w:hint="eastAsia" w:ascii="仿宋" w:hAnsi="仿宋" w:eastAsia="仿宋" w:cs="仿宋"/>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五）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r>
              <w:rPr>
                <w:rStyle w:val="12"/>
                <w:rFonts w:hint="eastAsia" w:ascii="仿宋" w:hAnsi="仿宋" w:eastAsia="仿宋" w:cs="仿宋"/>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 w:hAnsi="仿宋" w:eastAsia="仿宋" w:cs="仿宋"/>
                <w:sz w:val="28"/>
                <w:szCs w:val="28"/>
              </w:rPr>
            </w:pPr>
            <w:r>
              <w:rPr>
                <w:rFonts w:hint="eastAsia" w:ascii="仿宋" w:hAnsi="仿宋" w:eastAsia="仿宋" w:cs="仿宋"/>
                <w:sz w:val="28"/>
                <w:szCs w:val="28"/>
              </w:rPr>
              <w:t>（七）贯彻执行国家对外技术贸易、出口管制以及鼓励技术和成套设备进出口的贸易政策，推进进出口贸易标准化工作；依法监督技术引进、设备进口、国家限制出口技术的工作。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 w:hAnsi="仿宋" w:eastAsia="仿宋" w:cs="仿宋"/>
                <w:sz w:val="28"/>
                <w:szCs w:val="28"/>
              </w:rPr>
            </w:pPr>
            <w:r>
              <w:rPr>
                <w:rFonts w:hint="eastAsia" w:ascii="仿宋" w:hAnsi="仿宋" w:eastAsia="仿宋" w:cs="仿宋"/>
                <w:sz w:val="28"/>
                <w:szCs w:val="28"/>
              </w:rPr>
              <w:t>（八）牵头拟订服务贸易发展规划，并开展相关工作；会同有关部门制定促进服务出口、服务外包的规划、政策，并组织实施；推动服务外包平台建设。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 w:hAnsi="仿宋" w:eastAsia="仿宋" w:cs="仿宋"/>
                <w:sz w:val="28"/>
                <w:szCs w:val="28"/>
              </w:rPr>
            </w:pPr>
            <w:r>
              <w:rPr>
                <w:rFonts w:hint="eastAsia" w:ascii="仿宋" w:hAnsi="仿宋" w:eastAsia="仿宋" w:cs="仿宋"/>
                <w:sz w:val="28"/>
                <w:szCs w:val="28"/>
              </w:rPr>
              <w:t>（九）贯彻执行我国多双边（含区域、自由贸易区）经贸合作战略和政策，推进我州与其他国家（地区）的经贸往来与投资贸易合作；牵头承担我州商务领域涉及世界贸易事务的相关工作，负责对外经济贸易协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（十）承担组织协调反倾销、反补贴、保障措施及其他与进出口公平贸易相关工作，协助开展对外贸易调查和产业损害调查，指导协调产业安全应对工作。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备案工作；规范招商引资活动；指导各级经济技术开发区的有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（十三）贯彻执行国家对外援助政策和方案，协调管理参与监督全州对外援助项目；协调管理多双边对我州的无偿援助和赠款（不含财政合作项目外国政府及国际金融组织的赠款）等发展合作业务。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（十四）贯彻执行国家对香港、澳门特别行政区和台湾地区的经贸规划、政策，指导我州对</w:t>
            </w:r>
            <w:r>
              <w:rPr>
                <w:rFonts w:hint="eastAsia" w:ascii="仿宋" w:hAnsi="仿宋" w:eastAsia="仿宋" w:cs="仿宋"/>
                <w:spacing w:val="0"/>
                <w:sz w:val="28"/>
                <w:szCs w:val="28"/>
              </w:rPr>
              <w:t>港、澳、台地区贸易和经贸活动，协调港、澳、台商投资管理工作。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仿宋" w:hAnsi="仿宋" w:eastAsia="仿宋" w:cs="仿宋"/>
                <w:sz w:val="28"/>
                <w:szCs w:val="28"/>
              </w:rPr>
            </w:pPr>
            <w:r>
              <w:rPr>
                <w:rFonts w:hint="eastAsia" w:ascii="仿宋" w:hAnsi="仿宋" w:eastAsia="仿宋" w:cs="仿宋"/>
                <w:sz w:val="28"/>
                <w:szCs w:val="28"/>
              </w:rPr>
              <w:t>（十五）负责全州对外开放口岸的规划、申报及有关审批工作；协调管理全州口岸工作，推动建立大通关机制；协调配合打击走私相关工作。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（十六）承担会展业促进与管理工作责任，参与指导在本州境内举办的对外经济技术展览会工作。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（十七）承担全州商务系统统计及其信息发布工作，提供信息咨询服务，指导全州流通领域信息网络和电子商务建设。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（十八）指导协调石油工作；指导县市、湘西经济开发区管委会的商务、招资引资工作。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jc w:val="left"/>
              <w:textAlignment w:val="center"/>
              <w:rPr>
                <w:rFonts w:hint="eastAsia" w:ascii="仿宋" w:hAnsi="仿宋" w:eastAsia="仿宋" w:cs="仿宋"/>
                <w:sz w:val="28"/>
                <w:szCs w:val="28"/>
              </w:rPr>
            </w:pPr>
            <w:r>
              <w:rPr>
                <w:rFonts w:hint="eastAsia" w:ascii="仿宋" w:hAnsi="仿宋" w:eastAsia="仿宋" w:cs="仿宋"/>
                <w:sz w:val="28"/>
                <w:szCs w:val="28"/>
              </w:rPr>
              <w:t>（十九）承办州人民政府交办的其他事项。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2"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年度主要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工作内容</w:t>
            </w:r>
          </w:p>
        </w:tc>
        <w:tc>
          <w:tcPr>
            <w:tcW w:w="8003"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sz w:val="28"/>
                <w:szCs w:val="28"/>
                <w:lang w:val="en-US" w:eastAsia="zh-CN"/>
              </w:rPr>
            </w:pPr>
            <w:r>
              <w:rPr>
                <w:rFonts w:hint="eastAsia" w:ascii="仿宋" w:hAnsi="仿宋" w:eastAsia="仿宋" w:cs="仿宋"/>
                <w:color w:val="000000"/>
                <w:sz w:val="28"/>
                <w:szCs w:val="28"/>
                <w:lang w:val="en-US" w:eastAsia="zh-CN"/>
              </w:rPr>
              <w:t>任务1:</w:t>
            </w:r>
            <w:r>
              <w:rPr>
                <w:rFonts w:hint="eastAsia" w:ascii="仿宋" w:hAnsi="仿宋" w:eastAsia="仿宋" w:cs="仿宋"/>
                <w:sz w:val="28"/>
                <w:szCs w:val="28"/>
              </w:rPr>
              <w:t>我州招商引资</w:t>
            </w:r>
            <w:r>
              <w:rPr>
                <w:rFonts w:hint="eastAsia" w:ascii="仿宋" w:hAnsi="仿宋" w:eastAsia="仿宋" w:cs="仿宋"/>
                <w:sz w:val="28"/>
                <w:szCs w:val="28"/>
                <w:lang w:val="en-US" w:eastAsia="zh-CN"/>
              </w:rPr>
              <w:t>及</w:t>
            </w:r>
            <w:r>
              <w:rPr>
                <w:rFonts w:hint="eastAsia" w:ascii="仿宋" w:hAnsi="仿宋" w:eastAsia="仿宋" w:cs="仿宋"/>
                <w:sz w:val="28"/>
                <w:szCs w:val="28"/>
              </w:rPr>
              <w:t>优</w:t>
            </w:r>
            <w:r>
              <w:rPr>
                <w:rFonts w:hint="eastAsia" w:ascii="仿宋" w:hAnsi="仿宋" w:eastAsia="仿宋" w:cs="仿宋"/>
                <w:sz w:val="28"/>
                <w:szCs w:val="28"/>
                <w:lang w:val="en-US" w:eastAsia="zh-CN"/>
              </w:rPr>
              <w:t>化</w:t>
            </w:r>
            <w:r>
              <w:rPr>
                <w:rFonts w:hint="eastAsia" w:ascii="仿宋" w:hAnsi="仿宋" w:eastAsia="仿宋" w:cs="仿宋"/>
                <w:sz w:val="28"/>
                <w:szCs w:val="28"/>
              </w:rPr>
              <w:t>结构</w:t>
            </w:r>
            <w:r>
              <w:rPr>
                <w:rFonts w:hint="eastAsia" w:ascii="仿宋" w:hAnsi="仿宋" w:eastAsia="仿宋" w:cs="仿宋"/>
                <w:sz w:val="28"/>
                <w:szCs w:val="28"/>
                <w:lang w:eastAsia="zh-CN"/>
              </w:rPr>
              <w:t>（</w:t>
            </w:r>
            <w:r>
              <w:rPr>
                <w:rFonts w:hint="eastAsia" w:ascii="仿宋" w:hAnsi="仿宋" w:eastAsia="仿宋" w:cs="仿宋"/>
                <w:sz w:val="28"/>
                <w:szCs w:val="28"/>
              </w:rPr>
              <w:t>吸引粤港澳大湾区、长三角、京津冀、成渝地区等发达经济圈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任务2:</w:t>
            </w:r>
            <w:r>
              <w:rPr>
                <w:rFonts w:hint="eastAsia" w:ascii="仿宋" w:hAnsi="仿宋" w:eastAsia="仿宋" w:cs="仿宋"/>
                <w:sz w:val="28"/>
                <w:szCs w:val="28"/>
              </w:rPr>
              <w:t>我州外贸进出口总额增幅</w:t>
            </w:r>
            <w:r>
              <w:rPr>
                <w:rFonts w:hint="eastAsia" w:ascii="仿宋" w:hAnsi="仿宋" w:eastAsia="仿宋" w:cs="仿宋"/>
                <w:sz w:val="28"/>
                <w:szCs w:val="28"/>
                <w:lang w:val="en-US" w:eastAsia="zh-CN"/>
              </w:rPr>
              <w:t>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任务3:</w:t>
            </w:r>
            <w:r>
              <w:rPr>
                <w:rFonts w:hint="eastAsia" w:ascii="仿宋" w:hAnsi="仿宋" w:eastAsia="仿宋" w:cs="仿宋"/>
                <w:kern w:val="0"/>
                <w:sz w:val="28"/>
                <w:szCs w:val="28"/>
                <w:lang w:val="en-US" w:eastAsia="zh-CN" w:bidi="ar"/>
              </w:rPr>
              <w:t>重大项目建设方面（全国电子商务进农村综合示范项目建设、电子商务交易额突破亿元大关及实施乡村振兴农村电商示范站点标准化升级改造方面）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任务4:</w:t>
            </w:r>
            <w:r>
              <w:rPr>
                <w:rFonts w:hint="eastAsia" w:ascii="仿宋" w:hAnsi="仿宋" w:eastAsia="仿宋" w:cs="仿宋"/>
                <w:kern w:val="0"/>
                <w:sz w:val="28"/>
                <w:szCs w:val="28"/>
                <w:lang w:val="en-US" w:eastAsia="zh-CN" w:bidi="ar"/>
              </w:rPr>
              <w:t>创品夺牌方面；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default"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w:t>
            </w:r>
            <w:r>
              <w:rPr>
                <w:rFonts w:hint="default" w:ascii="仿宋" w:hAnsi="仿宋" w:eastAsia="仿宋" w:cs="仿宋"/>
                <w:kern w:val="0"/>
                <w:sz w:val="28"/>
                <w:szCs w:val="28"/>
                <w:lang w:val="en-US" w:eastAsia="zh-CN" w:bidi="ar"/>
              </w:rPr>
              <w:t>5、推进招大引强引外方面；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default"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w:t>
            </w:r>
            <w:r>
              <w:rPr>
                <w:rFonts w:hint="default" w:ascii="仿宋" w:hAnsi="仿宋" w:eastAsia="仿宋" w:cs="仿宋"/>
                <w:kern w:val="0"/>
                <w:sz w:val="28"/>
                <w:szCs w:val="28"/>
                <w:lang w:val="en-US" w:eastAsia="zh-CN" w:bidi="ar"/>
              </w:rPr>
              <w:t>6、三是重大经贸活动方面；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任务7:</w:t>
            </w:r>
            <w:r>
              <w:rPr>
                <w:rFonts w:hint="eastAsia" w:ascii="仿宋" w:hAnsi="仿宋" w:eastAsia="仿宋" w:cs="仿宋"/>
                <w:kern w:val="0"/>
                <w:sz w:val="28"/>
                <w:szCs w:val="28"/>
                <w:lang w:val="en-US" w:eastAsia="zh-CN" w:bidi="ar"/>
              </w:rPr>
              <w:t>党的建设持续深入推进方面。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年度部门（单位）总体运行情况及取得的成绩</w:t>
            </w:r>
          </w:p>
        </w:tc>
        <w:tc>
          <w:tcPr>
            <w:tcW w:w="8003"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spacing w:line="56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全州商务系统在州委州政府的坚强领导下，主动落实“三高四新”战略定位和使命任务，紧紧围绕“三区两地”发展定位和“五个湘西”主攻方向，主动应对国际国内复杂经济形势、新冠肺炎疫情不利影响，积极围绕打造武陵山区承接产业转移新高地，工作成效显著。全州商务和开放型经济工作取得了“六个第一”的好成绩，即：一是我州招商引资内资到位资金增幅34.7%，排名全省第一；二是我州外贸进出口总额增幅50.8%，排名全省第一；三是我州成为实施全国电子商务进农村综合示范项目建设第一个全覆盖的少数民族自治州；四是我州第一个在全省率先实施乡村振兴农村电商示范站点标准化升级改造建设工程；五是我州电子商务交易额第一次突破百亿元大关；六是我州商务系统第一次荣获湖南省人民政府真抓实干督查激励表彰。现将工作情况报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全州商务部门紧紧围绕党委政府的中心工作，克难奋进、主动求进、稳中有进，工作突破发展。吉首市的商务和发展开放型经济工作荣获省人民政府真抓实干督查激励表彰，州商务局被评为全州美丽湘西建设、民族团结进步、安全生产先进单位。州商务局、凤凰县商务局荣获全省商务工作（内贸）先进单位，花垣县商务局荣获全省商务工作先进单位，龙山县商务局荣获全省商务工作（外贸）先进单位，泸溪县商务局荣获全省商务工作（利用外资）先进单位，永顺县商务局荣获全省商务工作（外经）先进单位，湘西高新区荣获全省商务工作先进园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一是主要经济指标持续上扬。全年省外境内资金到位180.88亿元，同比增长34.7%，增幅排全省第1。直接利用外资305万美元，同比增长46.63%。新增注册外资企业13家，为历史以来最多的一年。外贸进出口总额16.84亿元，同比增长50.8%，增幅排全省第一。电子商务交易额108.24亿元，同比增长36.18%，交易额首次突破百亿元大关。社会消费品零售总额278.3亿元，同比增长14.3%，预计完成限额以上商贸流通企业入规40家（含大个体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二是重大项目建设有力推进。招大引强突破发展，全年引进“三类500强”企业新投资项目13个，同比增长200%，项目个数创历史之最。加快“五好”园区建设招商，全州产业园区省外境内到位资金90.7亿元，占全州省外境内到位资金总量的58.5%。</w:t>
            </w:r>
            <w:r>
              <w:rPr>
                <w:rFonts w:hint="eastAsia" w:ascii="仿宋" w:hAnsi="仿宋" w:eastAsia="仿宋" w:cs="仿宋"/>
                <w:kern w:val="0"/>
                <w:sz w:val="28"/>
                <w:szCs w:val="28"/>
                <w:lang w:val="en" w:eastAsia="zh-CN" w:bidi="ar"/>
              </w:rPr>
              <w:t>加快</w:t>
            </w:r>
            <w:r>
              <w:rPr>
                <w:rFonts w:hint="eastAsia" w:ascii="仿宋" w:hAnsi="仿宋" w:eastAsia="仿宋" w:cs="仿宋"/>
                <w:kern w:val="0"/>
                <w:sz w:val="28"/>
                <w:szCs w:val="28"/>
                <w:lang w:val="en-US" w:eastAsia="zh-CN" w:bidi="ar"/>
              </w:rPr>
              <w:t>商贸物流产业建设，36个重点项目实现投资60.99亿元，完成年度计划投资56.2亿元的105.8%，吉首市经开区冷链物流仓储区建设项目（八大仓库）等一批商贸物流项目建成运营。加快建设全国电子商务进农村综合示范项目建设，9个县级电商运营分拣中心基本建成，面积1.31万平方米。在全省率先实施40个乡村振兴农村电商示范站点标准化升级改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三是重大经贸活动亮点频闪。创新务实开展招商引资活动，先后举办湘西州（长沙）农业和商贸物流招商推介会、湘西州（深圳）优势产业专题招商推介会、“乘坐最美高铁 投资神秘湘西”云招商等一系列活动，新签约引进项目77个，合同引资424亿元，刷新年度新签项目个数的历史记录。组织企业参加第二届中非经贸博览会、第二届湖南（岳阳）口岸经贸博览会、首届海南消费品博览会等国内外重点展会，推介我州优质产品，对接国际贸易平台，有效扩大外贸“朋友圈”。我州与RCEP成员国贸易进出口达2.86亿元，同比增长161.7%，与“一带一路”沿线国家进出口实现5.64亿元，同比增长41.5%。深入开展市场促消费活动，紧扣全州“湘西香伴”公共区域品牌，牵头完成全州柑橘、猕猴桃、葡萄等大宗农特产品销售额23.77亿元，受到各级党委政府和农民群众的一致认可。重点开展“乐享消费 湘当韵味”等一系列促消费活动，拉动市场消费38.72亿元，同比增长13.2%。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四是创品夺牌工作成效显著。加强商务诚信体系建设，家政、成品油、餐饮等行业进一步规范发展。深入宣传发动，扎实开展“味道湖南•湘西味道”评选活动，我州“牛头宴”荣获湖南省金牌菜，“乾州鸭”“苗家酸肉”“花垣性肠”“凤凰血粑鸭”荣获银牌菜。大力举办湘西州直播带货暨短视频大赛，我州选手荣获全省网络直播带货优胜奖1个、最佳创作短视频奖2个。加强商业特色街道打造，吉首财信•商业街入选全省综合型试点，特色化、品牌化、规模化消费加快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五是党的建设持续深入推进。坚持党对商务工作的全面领导，将习近平总书记最新重要讲话精神和中央省州重大决策部署纳入党组会第一议题，深入开展党史学习教育，高标准推进“三表率一模范”机关建设，表彰优秀党支部2个、优秀党务工作者7人、优秀共产党员11人，颁发“光荣在党50年”纪念章28枚。州商务局离退休干部党支部被评为全州“五好”离退休干部党支部。州直学习贯彻党的十九届六中全会精神专题培训现场交流会在州商务局召开，“赓续红色基因 彰显商务担当”党建品牌建设和党建文化建设获得好评。统筹抓好老干、工青妇等工作。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在过去一年的工作中，全州商务部门在实践中形成了行之有效的工作经验：一是必须坚持党的领导、维护核心。要始终在思想上政治上行动上同以习近平同志为核心的党中央保持高度一致，将维护核心贯穿于商务事业发展的全过程，确保研判形势、谋划发展、推动工作始终沿着正确的政治方向不偏离。二是必须坚持谋定后动、真抓实干。我们抓每一项工作，都要紧紧围绕党委政府的中心工作，深入思考谋划，明晰时间表、任务书、路线图，有步骤、分阶段有序有力有效推进各项工作落实。三是必须坚持解放思想、提高本领。要深化开放意识，多走出去学习借鉴先进工作经验，与时俱进加强学习党的创新理论和业务知识，不断提升工作本领，以更加开放的思想、国际化的视野、创新的举措推动工作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08" w:firstLineChars="1106"/>
              <w:jc w:val="left"/>
              <w:textAlignment w:val="center"/>
              <w:rPr>
                <w:rFonts w:hint="eastAsia" w:ascii="宋体" w:hAnsi="宋体" w:eastAsia="宋体" w:cs="宋体"/>
                <w:sz w:val="21"/>
                <w:szCs w:val="21"/>
              </w:rPr>
            </w:pPr>
            <w:r>
              <w:rPr>
                <w:rFonts w:hint="eastAsia" w:ascii="宋体" w:hAnsi="宋体" w:eastAsia="宋体" w:cs="宋体"/>
                <w:b/>
                <w:bCs/>
                <w:sz w:val="28"/>
                <w:szCs w:val="28"/>
              </w:rPr>
              <w:t>二、部门（单位）收支情况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2952" w:firstLineChars="1406"/>
              <w:jc w:val="left"/>
              <w:textAlignment w:val="center"/>
              <w:rPr>
                <w:rFonts w:hint="eastAsia" w:ascii="宋体" w:hAnsi="宋体" w:eastAsia="宋体" w:cs="宋体"/>
                <w:sz w:val="21"/>
                <w:szCs w:val="21"/>
              </w:rPr>
            </w:pPr>
            <w:r>
              <w:rPr>
                <w:rFonts w:hint="eastAsia" w:ascii="宋体" w:hAnsi="宋体" w:eastAsia="宋体" w:cs="宋体"/>
                <w:sz w:val="21"/>
                <w:szCs w:val="21"/>
              </w:rPr>
              <w:t>年度收入情况（万元）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收入合计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484" w:firstLineChars="707"/>
              <w:jc w:val="left"/>
              <w:textAlignment w:val="center"/>
              <w:rPr>
                <w:rFonts w:hint="eastAsia" w:ascii="宋体" w:hAnsi="宋体" w:eastAsia="宋体" w:cs="宋体"/>
                <w:sz w:val="21"/>
                <w:szCs w:val="21"/>
              </w:rPr>
            </w:pPr>
            <w:r>
              <w:rPr>
                <w:rFonts w:hint="eastAsia" w:ascii="宋体" w:hAnsi="宋体" w:eastAsia="宋体" w:cs="宋体"/>
                <w:sz w:val="21"/>
                <w:szCs w:val="21"/>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上年结转</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公共财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政拨款</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政府基金拨款</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纳入专户管理的非税收入拨款</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firstLine="1050" w:firstLineChars="500"/>
              <w:jc w:val="left"/>
              <w:textAlignment w:val="center"/>
              <w:rPr>
                <w:rFonts w:hint="eastAsia" w:ascii="宋体" w:hAnsi="宋体" w:eastAsia="宋体" w:cs="宋体"/>
                <w:sz w:val="21"/>
                <w:szCs w:val="21"/>
              </w:rPr>
            </w:pPr>
            <w:r>
              <w:rPr>
                <w:rFonts w:hint="eastAsia" w:ascii="宋体" w:hAnsi="宋体" w:eastAsia="宋体" w:cs="宋体"/>
                <w:sz w:val="21"/>
                <w:szCs w:val="21"/>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3284</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1111</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2001</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92</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2342</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834</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1509</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highlight w:val="none"/>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highlight w:val="none"/>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1"/>
                <w:szCs w:val="21"/>
              </w:rPr>
            </w:pPr>
            <w:r>
              <w:rPr>
                <w:rFonts w:hint="eastAsia" w:ascii="宋体" w:hAnsi="宋体" w:eastAsia="宋体" w:cs="宋体"/>
                <w:sz w:val="21"/>
                <w:szCs w:val="21"/>
              </w:rPr>
              <w:t>2、商务局机关老干服务中心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75</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75</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1"/>
                <w:szCs w:val="21"/>
              </w:rPr>
            </w:pPr>
            <w:r>
              <w:rPr>
                <w:rFonts w:hint="eastAsia" w:ascii="宋体" w:hAnsi="宋体" w:eastAsia="宋体" w:cs="宋体"/>
                <w:sz w:val="21"/>
                <w:szCs w:val="21"/>
              </w:rPr>
              <w:t>3、湘西州投资促进事务局</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48</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99</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1"/>
                <w:szCs w:val="21"/>
              </w:rPr>
            </w:pPr>
            <w:r>
              <w:rPr>
                <w:rFonts w:hint="eastAsia" w:ascii="宋体" w:hAnsi="宋体" w:eastAsia="宋体" w:cs="宋体"/>
                <w:sz w:val="21"/>
                <w:szCs w:val="21"/>
              </w:rPr>
              <w:t>4、湘西州投资贸易促进中心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720</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229</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318</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highlight w:val="none"/>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92</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Style w:val="12"/>
                <w:rFonts w:hint="eastAsia" w:ascii="宋体" w:hAnsi="宋体" w:eastAsia="宋体" w:cs="宋体"/>
                <w:sz w:val="21"/>
                <w:szCs w:val="21"/>
              </w:rPr>
              <w:t>部门（单位）年度支出和结余情况（万元）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支出合计</w:t>
            </w:r>
          </w:p>
        </w:tc>
        <w:tc>
          <w:tcPr>
            <w:tcW w:w="3427" w:type="dxa"/>
            <w:gridSpan w:val="5"/>
            <w:tcBorders>
              <w:top w:val="single" w:color="000001" w:sz="4" w:space="0"/>
              <w:left w:val="single" w:color="00000A" w:sz="4" w:space="0"/>
              <w:bottom w:val="single" w:color="00000A"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其中：</w:t>
            </w:r>
          </w:p>
        </w:tc>
        <w:tc>
          <w:tcPr>
            <w:tcW w:w="3125" w:type="dxa"/>
            <w:gridSpan w:val="3"/>
            <w:tcBorders>
              <w:top w:val="single" w:color="000001" w:sz="4" w:space="0"/>
              <w:left w:val="single" w:color="00000A" w:sz="4" w:space="0"/>
              <w:bottom w:val="single" w:color="00000A"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restart"/>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基本支出</w:t>
            </w:r>
          </w:p>
        </w:tc>
        <w:tc>
          <w:tcPr>
            <w:tcW w:w="1991" w:type="dxa"/>
            <w:gridSpan w:val="3"/>
            <w:tcBorders>
              <w:top w:val="single" w:color="00000A"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其中：</w:t>
            </w:r>
          </w:p>
        </w:tc>
        <w:tc>
          <w:tcPr>
            <w:tcW w:w="941" w:type="dxa"/>
            <w:vMerge w:val="restart"/>
            <w:tcBorders>
              <w:top w:val="single" w:color="00000A" w:sz="4" w:space="0"/>
              <w:left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项目支出</w:t>
            </w:r>
          </w:p>
        </w:tc>
        <w:tc>
          <w:tcPr>
            <w:tcW w:w="1013" w:type="dxa"/>
            <w:gridSpan w:val="2"/>
            <w:vMerge w:val="restart"/>
            <w:tcBorders>
              <w:top w:val="single" w:color="00000A" w:sz="4" w:space="0"/>
              <w:left w:val="single" w:color="00000A"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当年结余</w:t>
            </w:r>
          </w:p>
        </w:tc>
        <w:tc>
          <w:tcPr>
            <w:tcW w:w="2112" w:type="dxa"/>
            <w:vMerge w:val="restart"/>
            <w:tcBorders>
              <w:top w:val="single" w:color="00000A" w:sz="4" w:space="0"/>
              <w:left w:val="single" w:color="00000A"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累计结余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人员支出</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公用支出</w:t>
            </w:r>
          </w:p>
        </w:tc>
        <w:tc>
          <w:tcPr>
            <w:tcW w:w="941" w:type="dxa"/>
            <w:vMerge w:val="continue"/>
            <w:tcBorders>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line="20" w:lineRule="atLeast"/>
              <w:ind w:left="0" w:right="0"/>
              <w:jc w:val="left"/>
              <w:rPr>
                <w:rFonts w:hint="eastAsia" w:ascii="宋体" w:hAnsi="宋体" w:eastAsia="宋体" w:cs="宋体"/>
                <w:sz w:val="21"/>
                <w:szCs w:val="21"/>
              </w:rPr>
            </w:pPr>
          </w:p>
        </w:tc>
        <w:tc>
          <w:tcPr>
            <w:tcW w:w="1013" w:type="dxa"/>
            <w:gridSpan w:val="2"/>
            <w:vMerge w:val="continue"/>
            <w:tcBorders>
              <w:left w:val="single" w:color="00000A"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2112" w:type="dxa"/>
            <w:vMerge w:val="continue"/>
            <w:tcBorders>
              <w:left w:val="single" w:color="00000A"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2957</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1865</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1518</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347</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1092</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2212</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1190</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1033</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157</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1022</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2、商务局机关老干服务中心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75</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75</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62</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3、湘西州投资促进事务局</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124</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87</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77</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37</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-25</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4、湘西州投资贸易促进中心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546</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513</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346</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167</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33</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-55</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三公经费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合计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公务接待费</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公务用车运行维护费</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公务用车购置费</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因公出国（境）费用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16</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69</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2、商务局机关老干服务中心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3、湘西州投资促进事务局</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4、湘西州投资贸易促进中心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固定资产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合计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2160"/>
              <w:textAlignment w:val="center"/>
              <w:rPr>
                <w:rFonts w:hint="eastAsia" w:ascii="宋体" w:hAnsi="宋体" w:eastAsia="宋体" w:cs="宋体"/>
                <w:sz w:val="21"/>
                <w:szCs w:val="21"/>
              </w:rPr>
            </w:pPr>
            <w:r>
              <w:rPr>
                <w:rFonts w:hint="eastAsia" w:ascii="宋体" w:hAnsi="宋体" w:eastAsia="宋体" w:cs="宋体"/>
                <w:sz w:val="21"/>
                <w:szCs w:val="21"/>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在用固定资产</w:t>
            </w:r>
          </w:p>
        </w:tc>
        <w:tc>
          <w:tcPr>
            <w:tcW w:w="2140" w:type="dxa"/>
            <w:gridSpan w:val="3"/>
            <w:tcBorders>
              <w:top w:val="single" w:color="00000A"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出租固定资产</w:t>
            </w:r>
          </w:p>
        </w:tc>
        <w:tc>
          <w:tcPr>
            <w:tcW w:w="3125" w:type="dxa"/>
            <w:gridSpan w:val="3"/>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9541</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1278</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8212</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2317</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1070</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1196</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2、商务局机关老干服务中心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3、湘西州投资促进事务局</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7215</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199</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7016</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4、湘西州投资贸易促进中心</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b/>
                <w:bCs/>
                <w:sz w:val="28"/>
                <w:szCs w:val="28"/>
              </w:rPr>
              <w:t>三、部门（单位）整体支出绩效自评情况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整体支出绩效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定性目标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及实施计划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完成情况</w:t>
            </w: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预期目标</w:t>
            </w:r>
          </w:p>
        </w:tc>
        <w:tc>
          <w:tcPr>
            <w:tcW w:w="5265" w:type="dxa"/>
            <w:gridSpan w:val="6"/>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76"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color w:val="000000"/>
                <w:sz w:val="24"/>
                <w:szCs w:val="24"/>
              </w:rPr>
              <w:t>坚持稳中求进工作总基调，贯彻落实省委、州委创新引领、开放崛起战略，大力推进产业项目招商，努力扩大对外贸易，加快我州企业“走出去”步伐；搞活内贸流通，重点培育线上商贸流通企业，推进电子商务与物流园区融合发展，积极发展与现代城市相适应的家政服务；优化环境，规范经营秩序，推动我州经济又好又快发展。</w:t>
            </w:r>
          </w:p>
        </w:tc>
        <w:tc>
          <w:tcPr>
            <w:tcW w:w="5265" w:type="dxa"/>
            <w:gridSpan w:val="6"/>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2"/>
              <w:ind w:firstLine="480" w:firstLineChars="200"/>
              <w:rPr>
                <w:rFonts w:hint="default" w:ascii="宋体" w:hAnsi="宋体" w:eastAsia="宋体" w:cs="宋体"/>
                <w:color w:val="000000"/>
                <w:kern w:val="0"/>
                <w:sz w:val="24"/>
                <w:szCs w:val="24"/>
                <w:lang w:val="en-US" w:eastAsia="zh-CN" w:bidi="ar"/>
              </w:rPr>
            </w:pPr>
            <w:r>
              <w:rPr>
                <w:rFonts w:hint="eastAsia" w:ascii="宋体" w:hAnsi="宋体" w:eastAsia="宋体" w:cs="宋体"/>
                <w:sz w:val="24"/>
                <w:szCs w:val="24"/>
              </w:rPr>
              <w:t>2021年，全州商务系统在州委州政府的坚强领导下，主动落实“三高四新”战略定位和使命任务，紧紧围绕“三区两地”发展定位和“五个湘西”主攻方向，主动应对国际国内复杂经济形势、新冠肺炎疫情不利影响，积极围绕打造武陵山区承接产业转移新高地，工作成效显著。</w:t>
            </w:r>
            <w:r>
              <w:rPr>
                <w:rFonts w:hint="eastAsia" w:ascii="宋体" w:hAnsi="宋体" w:eastAsia="宋体" w:cs="宋体"/>
                <w:sz w:val="24"/>
                <w:szCs w:val="24"/>
                <w:lang w:eastAsia="zh-CN"/>
              </w:rPr>
              <w:t>全</w:t>
            </w:r>
            <w:r>
              <w:rPr>
                <w:rFonts w:hint="eastAsia" w:ascii="宋体" w:hAnsi="宋体" w:eastAsia="宋体" w:cs="宋体"/>
                <w:sz w:val="24"/>
                <w:szCs w:val="24"/>
              </w:rPr>
              <w:t>州商务和开放型经济工作取得了“六个第一”的好成绩，</w:t>
            </w:r>
            <w:r>
              <w:rPr>
                <w:rFonts w:hint="eastAsia" w:ascii="宋体" w:hAnsi="宋体" w:eastAsia="宋体" w:cs="宋体"/>
                <w:color w:val="000000"/>
                <w:kern w:val="0"/>
                <w:sz w:val="24"/>
                <w:szCs w:val="24"/>
                <w:lang w:val="en-US" w:eastAsia="zh-CN" w:bidi="ar"/>
              </w:rPr>
              <w:t>2021年度</w:t>
            </w:r>
            <w:r>
              <w:rPr>
                <w:rFonts w:hint="default" w:ascii="宋体" w:hAnsi="宋体" w:eastAsia="宋体" w:cs="宋体"/>
                <w:color w:val="000000"/>
                <w:kern w:val="0"/>
                <w:sz w:val="24"/>
                <w:szCs w:val="24"/>
                <w:lang w:val="en-US" w:eastAsia="zh-CN" w:bidi="ar"/>
              </w:rPr>
              <w:t>部门整体支出年度产出指标</w:t>
            </w:r>
            <w:r>
              <w:rPr>
                <w:rFonts w:hint="eastAsia" w:ascii="宋体" w:hAnsi="宋体" w:eastAsia="宋体" w:cs="宋体"/>
                <w:color w:val="000000"/>
                <w:kern w:val="0"/>
                <w:sz w:val="24"/>
                <w:szCs w:val="24"/>
                <w:lang w:val="en-US" w:eastAsia="zh-CN" w:bidi="ar"/>
              </w:rPr>
              <w:t>已完成。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520" w:firstLineChars="248"/>
              <w:textAlignment w:val="center"/>
              <w:rPr>
                <w:rFonts w:hint="eastAsia" w:ascii="宋体" w:hAnsi="宋体" w:eastAsia="宋体" w:cs="宋体"/>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整体支出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绩效定量目标及实施计划完成情况</w:t>
            </w:r>
          </w:p>
        </w:tc>
        <w:tc>
          <w:tcPr>
            <w:tcW w:w="2761" w:type="dxa"/>
            <w:gridSpan w:val="4"/>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评价内容</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绩效目标</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产出目标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（部门工作实绩，包含上级部门和州委州政府布置的重点工作、实事任务等，根据部门实际进行调整细化）</w:t>
            </w:r>
          </w:p>
        </w:tc>
        <w:tc>
          <w:tcPr>
            <w:tcW w:w="495"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数量、质量、时效、成本指标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指标1：</w:t>
            </w:r>
            <w:r>
              <w:rPr>
                <w:rFonts w:hint="eastAsia" w:ascii="仿宋_GB2312" w:hAnsi="宋体" w:eastAsia="仿宋_GB2312" w:cs="仿宋_GB2312"/>
                <w:sz w:val="18"/>
                <w:szCs w:val="18"/>
              </w:rPr>
              <w:t>重点工作完成率</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158" w:right="0" w:hanging="158"/>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100%</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21"/>
                <w:szCs w:val="21"/>
                <w:lang w:val="en-US"/>
              </w:rPr>
            </w:pPr>
            <w:r>
              <w:rPr>
                <w:rFonts w:hint="eastAsia" w:ascii="宋体" w:hAnsi="宋体" w:eastAsia="宋体" w:cs="宋体"/>
                <w:color w:val="000000"/>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default" w:ascii="宋体" w:hAnsi="宋体" w:eastAsia="宋体" w:cs="宋体"/>
                <w:sz w:val="18"/>
                <w:szCs w:val="18"/>
                <w:highlight w:val="yellow"/>
                <w:lang w:val="en-US" w:eastAsia="zh-CN"/>
              </w:rPr>
            </w:pPr>
            <w:r>
              <w:rPr>
                <w:rFonts w:hint="eastAsia" w:ascii="宋体" w:hAnsi="宋体" w:eastAsia="宋体" w:cs="宋体"/>
                <w:sz w:val="18"/>
                <w:szCs w:val="18"/>
              </w:rPr>
              <w:t>指标</w:t>
            </w:r>
            <w:r>
              <w:rPr>
                <w:rFonts w:hint="eastAsia" w:ascii="宋体" w:hAnsi="宋体" w:eastAsia="宋体" w:cs="宋体"/>
                <w:sz w:val="18"/>
                <w:szCs w:val="18"/>
                <w:lang w:val="en-US" w:eastAsia="zh-CN"/>
              </w:rPr>
              <w:t>2</w:t>
            </w:r>
            <w:r>
              <w:rPr>
                <w:rFonts w:hint="eastAsia" w:ascii="宋体" w:hAnsi="宋体" w:eastAsia="宋体" w:cs="宋体"/>
                <w:sz w:val="18"/>
                <w:szCs w:val="18"/>
              </w:rPr>
              <w:t>：</w:t>
            </w:r>
            <w:r>
              <w:rPr>
                <w:rFonts w:hint="eastAsia" w:ascii="宋体" w:hAnsi="宋体" w:eastAsia="宋体" w:cs="宋体"/>
                <w:sz w:val="18"/>
                <w:szCs w:val="18"/>
                <w:lang w:val="en-US" w:eastAsia="zh-CN"/>
              </w:rPr>
              <w:t>36个重点项目投资（亿元）</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宋体" w:hAnsi="宋体" w:eastAsia="宋体" w:cs="宋体"/>
                <w:color w:val="FF0000"/>
                <w:sz w:val="21"/>
                <w:szCs w:val="21"/>
                <w:highlight w:val="yellow"/>
              </w:rPr>
            </w:pPr>
            <w:r>
              <w:rPr>
                <w:rFonts w:hint="eastAsia" w:ascii="仿宋_GB2312" w:hAnsi="宋体" w:eastAsia="仿宋_GB2312" w:cs="仿宋_GB2312"/>
                <w:color w:val="000000"/>
                <w:kern w:val="0"/>
                <w:sz w:val="21"/>
                <w:szCs w:val="21"/>
                <w:lang w:val="en-US" w:eastAsia="zh-CN" w:bidi="ar"/>
              </w:rPr>
              <w:t>56.2</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color w:val="FF0000"/>
                <w:sz w:val="21"/>
                <w:szCs w:val="21"/>
                <w:highlight w:val="yellow"/>
              </w:rPr>
            </w:pPr>
            <w:r>
              <w:rPr>
                <w:rFonts w:hint="eastAsia" w:ascii="仿宋_GB2312" w:hAnsi="宋体" w:eastAsia="仿宋_GB2312" w:cs="仿宋_GB2312"/>
                <w:color w:val="000000"/>
                <w:kern w:val="0"/>
                <w:sz w:val="21"/>
                <w:szCs w:val="21"/>
                <w:lang w:val="en-US" w:eastAsia="zh-CN" w:bidi="ar"/>
              </w:rPr>
              <w:t>60.99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指标</w:t>
            </w:r>
            <w:r>
              <w:rPr>
                <w:rFonts w:hint="eastAsia" w:ascii="宋体" w:hAnsi="宋体" w:eastAsia="宋体" w:cs="宋体"/>
                <w:sz w:val="18"/>
                <w:szCs w:val="18"/>
                <w:lang w:val="en-US" w:eastAsia="zh-CN"/>
              </w:rPr>
              <w:t>3</w:t>
            </w:r>
            <w:r>
              <w:rPr>
                <w:rFonts w:hint="eastAsia" w:ascii="宋体" w:hAnsi="宋体" w:eastAsia="宋体" w:cs="宋体"/>
                <w:sz w:val="18"/>
                <w:szCs w:val="1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“三公经费”控制率</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100%</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83.37%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指标4：部决算信息公开</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已公开</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已公开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效益目标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（预期实现的效益）</w:t>
            </w:r>
          </w:p>
        </w:tc>
        <w:tc>
          <w:tcPr>
            <w:tcW w:w="495"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社会、经济、生态效益</w:t>
            </w: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1</w:t>
            </w:r>
            <w:r>
              <w:rPr>
                <w:rFonts w:hint="default" w:ascii="仿宋_GB2312" w:hAnsi="宋体" w:eastAsia="仿宋_GB2312" w:cs="仿宋_GB2312"/>
                <w:sz w:val="21"/>
                <w:szCs w:val="21"/>
              </w:rPr>
              <w:t>：优化营商环境</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1、</w:t>
            </w:r>
            <w:r>
              <w:rPr>
                <w:rFonts w:hint="default" w:ascii="仿宋_GB2312" w:hAnsi="宋体" w:eastAsia="仿宋_GB2312" w:cs="仿宋_GB2312"/>
                <w:color w:val="000000"/>
                <w:kern w:val="0"/>
                <w:sz w:val="21"/>
                <w:szCs w:val="21"/>
                <w:lang w:val="en-US" w:eastAsia="zh-CN" w:bidi="ar"/>
              </w:rPr>
              <w:t>全年招商引资引进省外境内资金123亿人民币，外商直接投资235万美元；</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2、</w:t>
            </w:r>
            <w:r>
              <w:rPr>
                <w:rFonts w:hint="default" w:ascii="仿宋_GB2312" w:hAnsi="宋体" w:eastAsia="仿宋_GB2312" w:cs="仿宋_GB2312"/>
                <w:color w:val="000000"/>
                <w:kern w:val="0"/>
                <w:sz w:val="21"/>
                <w:szCs w:val="21"/>
                <w:lang w:val="en-US" w:eastAsia="zh-CN" w:bidi="ar"/>
              </w:rPr>
              <w:t>完成进出口总额11.4亿人民币；</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3、电子商务交易额80亿元，开展农特产品保销活动2次以上，每季度完成20亿元目标。</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4、完成年度限额以上商贸流通企业培育入规20家。</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Chars="0" w:right="0" w:rightChars="0"/>
              <w:jc w:val="left"/>
              <w:textAlignment w:val="center"/>
              <w:rPr>
                <w:rFonts w:hint="eastAsia" w:ascii="仿宋_GB2312" w:hAnsi="宋体" w:eastAsia="仿宋_GB2312" w:cs="仿宋_GB2312"/>
                <w:color w:val="000000"/>
                <w:kern w:val="0"/>
                <w:sz w:val="21"/>
                <w:szCs w:val="21"/>
                <w:lang w:val="en-US" w:eastAsia="zh-CN" w:bidi="ar"/>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jc w:val="left"/>
              <w:textAlignment w:val="center"/>
              <w:rPr>
                <w:rFonts w:hint="eastAsia" w:ascii="仿宋_GB2312" w:hAnsi="宋体" w:eastAsia="仿宋_GB2312" w:cs="仿宋_GB2312"/>
                <w:color w:val="000000"/>
                <w:kern w:val="0"/>
                <w:sz w:val="21"/>
                <w:szCs w:val="21"/>
                <w:lang w:val="en-US" w:eastAsia="zh-CN" w:bidi="ar"/>
              </w:rPr>
            </w:pP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 w:eastAsia="zh-CN" w:bidi="ar"/>
              </w:rPr>
            </w:pPr>
            <w:r>
              <w:rPr>
                <w:rFonts w:hint="eastAsia" w:ascii="仿宋_GB2312" w:hAnsi="宋体" w:eastAsia="仿宋_GB2312" w:cs="仿宋_GB2312"/>
                <w:color w:val="000000"/>
                <w:kern w:val="0"/>
                <w:sz w:val="21"/>
                <w:szCs w:val="21"/>
                <w:lang w:val="en-US" w:eastAsia="zh-CN" w:bidi="ar"/>
              </w:rPr>
              <w:t>1、</w:t>
            </w:r>
            <w:r>
              <w:rPr>
                <w:rFonts w:hint="eastAsia" w:ascii="仿宋_GB2312" w:hAnsi="宋体" w:eastAsia="仿宋_GB2312" w:cs="仿宋_GB2312"/>
                <w:color w:val="000000"/>
                <w:kern w:val="0"/>
                <w:sz w:val="21"/>
                <w:szCs w:val="21"/>
                <w:lang w:val="en" w:eastAsia="zh-CN" w:bidi="ar"/>
              </w:rPr>
              <w:t>1-</w:t>
            </w:r>
            <w:r>
              <w:rPr>
                <w:rFonts w:hint="eastAsia" w:ascii="仿宋_GB2312" w:hAnsi="宋体" w:eastAsia="仿宋_GB2312" w:cs="仿宋_GB2312"/>
                <w:color w:val="000000"/>
                <w:kern w:val="0"/>
                <w:sz w:val="21"/>
                <w:szCs w:val="21"/>
                <w:lang w:val="en-US" w:eastAsia="zh-CN" w:bidi="ar"/>
              </w:rPr>
              <w:t>12</w:t>
            </w:r>
            <w:r>
              <w:rPr>
                <w:rFonts w:hint="eastAsia" w:ascii="仿宋_GB2312" w:hAnsi="宋体" w:eastAsia="仿宋_GB2312" w:cs="仿宋_GB2312"/>
                <w:color w:val="000000"/>
                <w:kern w:val="0"/>
                <w:sz w:val="21"/>
                <w:szCs w:val="21"/>
                <w:lang w:val="en" w:eastAsia="zh-CN" w:bidi="ar"/>
              </w:rPr>
              <w:t>月, 全州引进省外境内资金1</w:t>
            </w:r>
            <w:r>
              <w:rPr>
                <w:rFonts w:hint="eastAsia" w:ascii="仿宋_GB2312" w:hAnsi="宋体" w:eastAsia="仿宋_GB2312" w:cs="仿宋_GB2312"/>
                <w:color w:val="000000"/>
                <w:kern w:val="0"/>
                <w:sz w:val="21"/>
                <w:szCs w:val="21"/>
                <w:lang w:val="en-US" w:eastAsia="zh-CN" w:bidi="ar"/>
              </w:rPr>
              <w:t>80.9</w:t>
            </w:r>
            <w:r>
              <w:rPr>
                <w:rFonts w:hint="eastAsia" w:ascii="仿宋_GB2312" w:hAnsi="宋体" w:eastAsia="仿宋_GB2312" w:cs="仿宋_GB2312"/>
                <w:color w:val="000000"/>
                <w:kern w:val="0"/>
                <w:sz w:val="21"/>
                <w:szCs w:val="21"/>
                <w:lang w:val="en" w:eastAsia="zh-CN" w:bidi="ar"/>
              </w:rPr>
              <w:t>亿元，同比增长</w:t>
            </w:r>
            <w:r>
              <w:rPr>
                <w:rFonts w:hint="eastAsia" w:ascii="仿宋_GB2312" w:hAnsi="宋体" w:eastAsia="仿宋_GB2312" w:cs="仿宋_GB2312"/>
                <w:color w:val="000000"/>
                <w:kern w:val="0"/>
                <w:sz w:val="21"/>
                <w:szCs w:val="21"/>
                <w:lang w:val="en-US" w:eastAsia="zh-CN" w:bidi="ar"/>
              </w:rPr>
              <w:t>34.7</w:t>
            </w:r>
            <w:r>
              <w:rPr>
                <w:rFonts w:hint="eastAsia" w:ascii="仿宋_GB2312" w:hAnsi="宋体" w:eastAsia="仿宋_GB2312" w:cs="仿宋_GB2312"/>
                <w:color w:val="000000"/>
                <w:kern w:val="0"/>
                <w:sz w:val="21"/>
                <w:szCs w:val="21"/>
                <w:lang w:val="en" w:eastAsia="zh-CN" w:bidi="ar"/>
              </w:rPr>
              <w:t>%，完成省定年度任务(150亿元)的</w:t>
            </w:r>
            <w:r>
              <w:rPr>
                <w:rFonts w:hint="default" w:ascii="仿宋_GB2312" w:hAnsi="宋体" w:eastAsia="仿宋_GB2312" w:cs="仿宋_GB2312"/>
                <w:color w:val="000000"/>
                <w:kern w:val="0"/>
                <w:sz w:val="21"/>
                <w:szCs w:val="21"/>
                <w:lang w:val="en" w:eastAsia="zh-CN" w:bidi="ar"/>
              </w:rPr>
              <w:t>1</w:t>
            </w:r>
            <w:r>
              <w:rPr>
                <w:rFonts w:hint="eastAsia" w:ascii="仿宋_GB2312" w:hAnsi="宋体" w:eastAsia="仿宋_GB2312" w:cs="仿宋_GB2312"/>
                <w:color w:val="000000"/>
                <w:kern w:val="0"/>
                <w:sz w:val="21"/>
                <w:szCs w:val="21"/>
                <w:lang w:val="en-US" w:eastAsia="zh-CN" w:bidi="ar"/>
              </w:rPr>
              <w:t>20.6</w:t>
            </w:r>
            <w:r>
              <w:rPr>
                <w:rFonts w:hint="eastAsia" w:ascii="仿宋_GB2312" w:hAnsi="宋体" w:eastAsia="仿宋_GB2312" w:cs="仿宋_GB2312"/>
                <w:color w:val="000000"/>
                <w:kern w:val="0"/>
                <w:sz w:val="21"/>
                <w:szCs w:val="21"/>
                <w:lang w:val="en" w:eastAsia="zh-CN" w:bidi="ar"/>
              </w:rPr>
              <w:t>%，利用外资</w:t>
            </w:r>
            <w:r>
              <w:rPr>
                <w:rFonts w:hint="eastAsia" w:ascii="仿宋_GB2312" w:hAnsi="宋体" w:eastAsia="仿宋_GB2312" w:cs="仿宋_GB2312"/>
                <w:color w:val="000000"/>
                <w:kern w:val="0"/>
                <w:sz w:val="21"/>
                <w:szCs w:val="21"/>
                <w:lang w:val="en-US" w:eastAsia="zh-CN" w:bidi="ar"/>
              </w:rPr>
              <w:t>305</w:t>
            </w:r>
            <w:r>
              <w:rPr>
                <w:rFonts w:hint="eastAsia" w:ascii="仿宋_GB2312" w:hAnsi="宋体" w:eastAsia="仿宋_GB2312" w:cs="仿宋_GB2312"/>
                <w:color w:val="000000"/>
                <w:kern w:val="0"/>
                <w:sz w:val="21"/>
                <w:szCs w:val="21"/>
                <w:lang w:val="en" w:eastAsia="zh-CN" w:bidi="ar"/>
              </w:rPr>
              <w:t>万美元；</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2、</w:t>
            </w:r>
            <w:r>
              <w:rPr>
                <w:rFonts w:hint="eastAsia" w:ascii="仿宋_GB2312" w:hAnsi="宋体" w:eastAsia="仿宋_GB2312" w:cs="仿宋_GB2312"/>
                <w:color w:val="000000"/>
                <w:kern w:val="0"/>
                <w:sz w:val="21"/>
                <w:szCs w:val="21"/>
                <w:lang w:val="en" w:eastAsia="zh-CN" w:bidi="ar"/>
              </w:rPr>
              <w:t>新注册</w:t>
            </w:r>
            <w:r>
              <w:rPr>
                <w:rFonts w:hint="eastAsia" w:ascii="仿宋_GB2312" w:hAnsi="宋体" w:eastAsia="仿宋_GB2312" w:cs="仿宋_GB2312"/>
                <w:color w:val="000000"/>
                <w:kern w:val="0"/>
                <w:sz w:val="21"/>
                <w:szCs w:val="21"/>
                <w:lang w:val="en-US" w:eastAsia="zh-CN" w:bidi="ar"/>
              </w:rPr>
              <w:t>外商投资企业13户，为历年最高。引进“三类500强”新投资项目13个、总投资额72.48亿元，完成年度任务（4个）的325%，为历年最高。3、电子商务交易额108.24亿元，同比增长36.18%，交易额首次突破百亿元大关。社会消费品零售总额278.3亿元，同比增长14.3%，预计完成限额以上商贸流通企业入规40家（含大个体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4、《湘西州利用巡察手段助力招商引资工作》被纳入2021年全省10大招商引资工作好经验案例并由省商务厅报商务部。《湘西自治州招商引资项目全过程管理服务工作指引》获得省商务厅、广大企业的高度认可。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tcBorders>
              <w:top w:val="single" w:color="000001" w:sz="4" w:space="0"/>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2</w:t>
            </w:r>
            <w:r>
              <w:rPr>
                <w:rFonts w:hint="default" w:ascii="仿宋_GB2312" w:hAnsi="宋体" w:eastAsia="仿宋_GB2312" w:cs="仿宋_GB2312"/>
                <w:sz w:val="21"/>
                <w:szCs w:val="21"/>
              </w:rPr>
              <w:t>：</w:t>
            </w:r>
            <w:r>
              <w:rPr>
                <w:rFonts w:hint="eastAsia" w:ascii="仿宋_GB2312" w:hAnsi="宋体" w:eastAsia="仿宋_GB2312" w:cs="仿宋_GB2312"/>
                <w:color w:val="000000"/>
                <w:sz w:val="21"/>
                <w:szCs w:val="21"/>
              </w:rPr>
              <w:t>重大项目建设</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　</w:t>
            </w:r>
            <w:r>
              <w:rPr>
                <w:rFonts w:hint="eastAsia" w:ascii="仿宋_GB2312" w:hAnsi="宋体" w:eastAsia="仿宋_GB2312" w:cs="仿宋_GB2312"/>
                <w:color w:val="000000"/>
                <w:sz w:val="21"/>
                <w:szCs w:val="21"/>
                <w:lang w:val="en-US" w:eastAsia="zh-CN"/>
              </w:rPr>
              <w:t>有力</w:t>
            </w:r>
            <w:r>
              <w:rPr>
                <w:rFonts w:hint="default" w:ascii="仿宋_GB2312" w:hAnsi="宋体" w:eastAsia="仿宋_GB2312" w:cs="仿宋_GB2312"/>
                <w:color w:val="000000"/>
                <w:sz w:val="21"/>
                <w:szCs w:val="21"/>
              </w:rPr>
              <w:t>推进全州</w:t>
            </w:r>
            <w:r>
              <w:rPr>
                <w:rFonts w:hint="eastAsia" w:ascii="仿宋_GB2312" w:hAnsi="宋体" w:eastAsia="仿宋_GB2312" w:cs="仿宋_GB2312"/>
                <w:color w:val="000000"/>
                <w:sz w:val="21"/>
                <w:szCs w:val="21"/>
                <w:lang w:val="en-US" w:eastAsia="zh-CN"/>
              </w:rPr>
              <w:t>重大</w:t>
            </w:r>
            <w:r>
              <w:rPr>
                <w:rFonts w:hint="default" w:ascii="仿宋_GB2312" w:hAnsi="宋体" w:eastAsia="仿宋_GB2312" w:cs="仿宋_GB2312"/>
                <w:color w:val="000000"/>
                <w:sz w:val="21"/>
                <w:szCs w:val="21"/>
              </w:rPr>
              <w:t>项目建设</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1、全年引进“三类500强”企业新投资项目13个，同比增长200%，项目个数创历史之最。         2、加快“五好”园区建设招商，全州产业园区省外境内到位资金90.7亿元，占全州省外境内到位资金总量的58.5%。</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3、</w:t>
            </w:r>
            <w:r>
              <w:rPr>
                <w:rFonts w:hint="eastAsia" w:ascii="仿宋_GB2312" w:hAnsi="宋体" w:eastAsia="仿宋_GB2312" w:cs="仿宋_GB2312"/>
                <w:color w:val="000000"/>
                <w:kern w:val="0"/>
                <w:sz w:val="21"/>
                <w:szCs w:val="21"/>
                <w:lang w:val="en" w:eastAsia="zh-CN" w:bidi="ar"/>
              </w:rPr>
              <w:t>加快</w:t>
            </w:r>
            <w:r>
              <w:rPr>
                <w:rFonts w:hint="eastAsia" w:ascii="仿宋_GB2312" w:hAnsi="宋体" w:eastAsia="仿宋_GB2312" w:cs="仿宋_GB2312"/>
                <w:color w:val="000000"/>
                <w:kern w:val="0"/>
                <w:sz w:val="21"/>
                <w:szCs w:val="21"/>
                <w:lang w:val="en-US" w:eastAsia="zh-CN" w:bidi="ar"/>
              </w:rPr>
              <w:t>商贸物流产业建设，36个重点项目实现投资60.99亿元，完成年度计划投资56.2亿元的105.8%，吉首市经开区冷链物流仓储区建设项目（八大仓库）等一批商贸物流项目建成运营。</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4、加快建设全国电子商务进农村综合示范项目建设，9个县级电商运营分拣中心基本建成，面积1.31万平方米。在全省率先实施40个乡村振兴农村电商示范站点标准化升级改造。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tcBorders>
              <w:top w:val="single" w:color="000001" w:sz="4" w:space="0"/>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3</w:t>
            </w:r>
            <w:r>
              <w:rPr>
                <w:rFonts w:hint="default" w:ascii="仿宋_GB2312" w:hAnsi="宋体" w:eastAsia="仿宋_GB2312" w:cs="仿宋_GB2312"/>
                <w:sz w:val="21"/>
                <w:szCs w:val="21"/>
              </w:rPr>
              <w:t>：扩大消费</w:t>
            </w:r>
            <w:r>
              <w:rPr>
                <w:rFonts w:hint="eastAsia" w:ascii="仿宋_GB2312" w:hAnsi="宋体" w:eastAsia="仿宋_GB2312" w:cs="仿宋_GB2312"/>
                <w:sz w:val="21"/>
                <w:szCs w:val="21"/>
                <w:lang w:eastAsia="zh-CN"/>
              </w:rPr>
              <w:t>，</w:t>
            </w:r>
            <w:r>
              <w:rPr>
                <w:rFonts w:hint="default" w:ascii="仿宋_GB2312" w:hAnsi="宋体" w:eastAsia="仿宋_GB2312" w:cs="仿宋_GB2312"/>
                <w:sz w:val="21"/>
                <w:szCs w:val="21"/>
              </w:rPr>
              <w:t>助力</w:t>
            </w:r>
            <w:r>
              <w:rPr>
                <w:rFonts w:hint="eastAsia" w:ascii="仿宋_GB2312" w:hAnsi="宋体" w:eastAsia="仿宋_GB2312" w:cs="仿宋_GB2312"/>
                <w:color w:val="000000"/>
                <w:kern w:val="2"/>
                <w:sz w:val="21"/>
                <w:szCs w:val="21"/>
                <w:lang w:val="en-US" w:eastAsia="zh-CN" w:bidi="ar-SA"/>
              </w:rPr>
              <w:t>全州乡村振兴农村电商标准化示范站点建设</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pageBreakBefore w:val="0"/>
              <w:kinsoku/>
              <w:wordWrap/>
              <w:overflowPunct/>
              <w:topLinePunct w:val="0"/>
              <w:autoSpaceDE/>
              <w:autoSpaceDN/>
              <w:bidi w:val="0"/>
              <w:spacing w:line="600" w:lineRule="exact"/>
              <w:ind w:firstLine="210" w:firstLineChars="100"/>
              <w:rPr>
                <w:rFonts w:ascii="仿宋_GB2312" w:hAnsi="黑体" w:eastAsia="仿宋_GB2312"/>
                <w:color w:val="000000" w:themeColor="text1"/>
                <w:sz w:val="32"/>
                <w:szCs w:val="32"/>
                <w14:textFill>
                  <w14:solidFill>
                    <w14:schemeClr w14:val="tx1"/>
                  </w14:solidFill>
                </w14:textFill>
              </w:rPr>
            </w:pPr>
            <w:r>
              <w:rPr>
                <w:rFonts w:hint="default" w:ascii="仿宋_GB2312" w:hAnsi="宋体" w:eastAsia="仿宋_GB2312" w:cs="仿宋_GB2312"/>
                <w:color w:val="000000"/>
                <w:sz w:val="21"/>
                <w:szCs w:val="21"/>
              </w:rPr>
              <w:t>紧扣全州“湘西香伴”公共区域品牌，</w:t>
            </w:r>
            <w:r>
              <w:rPr>
                <w:rFonts w:hint="eastAsia" w:ascii="仿宋_GB2312" w:hAnsi="宋体" w:eastAsia="仿宋_GB2312" w:cs="仿宋_GB2312"/>
                <w:color w:val="000000"/>
                <w:sz w:val="21"/>
                <w:szCs w:val="21"/>
              </w:rPr>
              <w:t>重点开展“乐享消费 湘当韵味”等一系列促消费活动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pageBreakBefore w:val="0"/>
              <w:kinsoku/>
              <w:wordWrap/>
              <w:overflowPunct/>
              <w:topLinePunct w:val="0"/>
              <w:autoSpaceDE/>
              <w:autoSpaceDN/>
              <w:bidi w:val="0"/>
              <w:spacing w:line="600" w:lineRule="exact"/>
              <w:ind w:firstLine="420" w:firstLineChars="200"/>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深入开展市场促销消费活动，紧扣全州“湘西香伴”公共区域品牌，牵头完成全州柑橘、猕猴桃、葡萄等大宗农特产品销售额23.77亿元，受到各级党委政府和农民群众的一致认可。重点开展“乐享消费 湘当韵味”等一系列促消费活动，拉动市场消费38.72亿元，同比增长13.2%。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宋体" w:eastAsia="仿宋_GB2312" w:cs="仿宋_GB2312"/>
                <w:color w:val="00000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社会公众或服务对象满意度</w:t>
            </w: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1</w:t>
            </w:r>
            <w:r>
              <w:rPr>
                <w:rFonts w:hint="default" w:ascii="仿宋_GB2312" w:hAnsi="宋体" w:eastAsia="仿宋_GB2312" w:cs="仿宋_GB2312"/>
                <w:sz w:val="21"/>
                <w:szCs w:val="21"/>
              </w:rPr>
              <w:t>：社会公众满意度</w:t>
            </w:r>
          </w:p>
        </w:tc>
        <w:tc>
          <w:tcPr>
            <w:tcW w:w="2362" w:type="dxa"/>
            <w:gridSpan w:val="3"/>
            <w:vMerge w:val="restart"/>
            <w:tcBorders>
              <w:top w:val="single" w:color="000001" w:sz="4" w:space="0"/>
              <w:left w:val="single" w:color="00000A"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7"/>
              <w:jc w:val="left"/>
              <w:textAlignment w:val="center"/>
              <w:rPr>
                <w:rFonts w:hint="eastAsia" w:ascii="宋体" w:hAnsi="宋体" w:eastAsia="宋体" w:cs="宋体"/>
                <w:sz w:val="21"/>
                <w:szCs w:val="21"/>
              </w:rPr>
            </w:pPr>
            <w:r>
              <w:rPr>
                <w:rFonts w:hint="eastAsia" w:ascii="宋体" w:hAnsi="宋体" w:eastAsia="宋体" w:cs="宋体"/>
                <w:color w:val="000000"/>
                <w:sz w:val="21"/>
                <w:szCs w:val="21"/>
              </w:rPr>
              <w:t>95%以上</w:t>
            </w:r>
          </w:p>
        </w:tc>
        <w:tc>
          <w:tcPr>
            <w:tcW w:w="2880" w:type="dxa"/>
            <w:gridSpan w:val="2"/>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color w:val="000000"/>
                <w:sz w:val="21"/>
                <w:szCs w:val="21"/>
              </w:rPr>
              <w:t>采用调查问卷方式，满意度为</w:t>
            </w:r>
            <w:r>
              <w:rPr>
                <w:rFonts w:hint="eastAsia" w:ascii="宋体" w:hAnsi="宋体" w:eastAsia="宋体" w:cs="宋体"/>
                <w:sz w:val="21"/>
                <w:szCs w:val="21"/>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8"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2</w:t>
            </w:r>
            <w:r>
              <w:rPr>
                <w:rFonts w:hint="default" w:ascii="仿宋_GB2312" w:hAnsi="宋体" w:eastAsia="仿宋_GB2312" w:cs="仿宋_GB2312"/>
                <w:sz w:val="21"/>
                <w:szCs w:val="21"/>
              </w:rPr>
              <w:t>：服务对象满意度</w:t>
            </w:r>
          </w:p>
        </w:tc>
        <w:tc>
          <w:tcPr>
            <w:tcW w:w="2362" w:type="dxa"/>
            <w:gridSpan w:val="3"/>
            <w:vMerge w:val="continue"/>
            <w:tcBorders>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7"/>
              <w:jc w:val="left"/>
              <w:textAlignment w:val="center"/>
              <w:rPr>
                <w:rFonts w:hint="eastAsia" w:ascii="宋体" w:hAnsi="宋体" w:eastAsia="宋体" w:cs="宋体"/>
                <w:sz w:val="21"/>
                <w:szCs w:val="21"/>
              </w:rPr>
            </w:pPr>
          </w:p>
        </w:tc>
        <w:tc>
          <w:tcPr>
            <w:tcW w:w="2880" w:type="dxa"/>
            <w:gridSpan w:val="2"/>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0" w:hRule="atLeast"/>
          <w:jc w:val="center"/>
        </w:trPr>
        <w:tc>
          <w:tcPr>
            <w:tcW w:w="285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绩效自评综合得分及评价等次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ascii="楷体_GB2312" w:hAnsi="宋体" w:eastAsia="楷体_GB2312" w:cs="楷体_GB2312"/>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ascii="楷体_GB2312" w:hAnsi="宋体" w:eastAsia="楷体_GB2312" w:cs="楷体_GB2312"/>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宋体" w:hAnsi="宋体" w:eastAsia="宋体" w:cs="宋体"/>
                <w:sz w:val="21"/>
                <w:szCs w:val="21"/>
              </w:rPr>
            </w:pPr>
            <w:r>
              <w:rPr>
                <w:rFonts w:ascii="楷体_GB2312" w:hAnsi="宋体" w:eastAsia="楷体_GB2312" w:cs="楷体_GB2312"/>
                <w:sz w:val="21"/>
                <w:szCs w:val="21"/>
              </w:rPr>
              <w:t>评分：</w:t>
            </w:r>
            <w:r>
              <w:rPr>
                <w:rFonts w:hint="eastAsia" w:ascii="宋体" w:hAnsi="宋体" w:eastAsia="宋体" w:cs="宋体"/>
                <w:sz w:val="21"/>
                <w:szCs w:val="21"/>
                <w:lang w:val="en-US" w:eastAsia="zh-CN"/>
              </w:rPr>
              <w:t>96.98</w:t>
            </w:r>
            <w:r>
              <w:rPr>
                <w:rFonts w:hint="eastAsia" w:ascii="宋体" w:hAnsi="宋体" w:eastAsia="宋体" w:cs="宋体"/>
                <w:sz w:val="21"/>
                <w:szCs w:val="21"/>
              </w:rPr>
              <w:t>                          </w:t>
            </w:r>
            <w:r>
              <w:rPr>
                <w:rFonts w:hint="default" w:ascii="楷体_GB2312" w:hAnsi="宋体" w:eastAsia="楷体_GB2312" w:cs="楷体_GB2312"/>
                <w:sz w:val="21"/>
                <w:szCs w:val="21"/>
              </w:rPr>
              <w:t>等级：优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b/>
                <w:bCs/>
                <w:sz w:val="28"/>
                <w:szCs w:val="28"/>
              </w:rPr>
              <w:t>四、评价人员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姓 名</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单 位</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签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琛</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党组成员、副局长</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艳</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财务科科长</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杨智勇</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财务科会计</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陈春娥</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财务人员</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机关老干服务中心</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成</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财务人员</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州投资贸易促进中心</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禹杨华</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财务人员</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州投资促进事务局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3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评价组组长签署意见：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eastAsia" w:ascii="宋体" w:hAnsi="宋体" w:eastAsia="宋体" w:cs="宋体"/>
                <w:sz w:val="24"/>
                <w:szCs w:val="24"/>
              </w:rPr>
              <w:t>评价组组长（签字）：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7280" w:firstLineChars="455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部门（单位）意见：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4"/>
                <w:szCs w:val="24"/>
              </w:rPr>
            </w:pPr>
            <w:r>
              <w:rPr>
                <w:rFonts w:hint="eastAsia" w:ascii="宋体" w:hAnsi="宋体" w:eastAsia="宋体" w:cs="宋体"/>
                <w:sz w:val="24"/>
                <w:szCs w:val="24"/>
              </w:rPr>
              <w:t>部门（单位）负责人（签字）：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部门（单位）（盖章）：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default" w:ascii="宋体" w:hAnsi="宋体" w:eastAsia="宋体" w:cs="宋体"/>
                <w:sz w:val="16"/>
                <w:szCs w:val="16"/>
                <w:lang w:val="en"/>
              </w:rPr>
              <w:t xml:space="preserve">                                                                                    </w:t>
            </w: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3"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r>
              <w:rPr>
                <w:rFonts w:hint="eastAsia" w:ascii="宋体" w:hAnsi="宋体" w:eastAsia="宋体" w:cs="宋体"/>
                <w:sz w:val="24"/>
                <w:szCs w:val="24"/>
              </w:rPr>
              <w:t>财政部门归口业务科室意见：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4"/>
                <w:szCs w:val="24"/>
              </w:rPr>
            </w:pPr>
            <w:r>
              <w:rPr>
                <w:rFonts w:hint="eastAsia" w:ascii="宋体" w:hAnsi="宋体" w:eastAsia="宋体" w:cs="宋体"/>
                <w:sz w:val="24"/>
                <w:szCs w:val="24"/>
              </w:rPr>
              <w:t>财政部门归口业务科室负责人（签字）：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r>
              <w:rPr>
                <w:rFonts w:hint="eastAsia" w:ascii="宋体" w:hAnsi="宋体" w:eastAsia="宋体" w:cs="宋体"/>
                <w:sz w:val="24"/>
                <w:szCs w:val="24"/>
              </w:rPr>
              <w:t>财政部门归口业务科室（盖章）：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firstLine="7560" w:firstLineChars="3150"/>
              <w:jc w:val="left"/>
              <w:textAlignment w:val="center"/>
              <w:rPr>
                <w:rFonts w:hint="eastAsia" w:ascii="宋体" w:hAnsi="宋体" w:eastAsia="宋体" w:cs="宋体"/>
                <w:sz w:val="16"/>
                <w:szCs w:val="16"/>
              </w:rPr>
            </w:pPr>
            <w:r>
              <w:rPr>
                <w:rFonts w:hint="eastAsia" w:ascii="宋体" w:hAnsi="宋体" w:eastAsia="宋体" w:cs="宋体"/>
                <w:sz w:val="24"/>
                <w:szCs w:val="24"/>
              </w:rPr>
              <w:t>年    月   日</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eastAsia" w:ascii="宋体" w:hAnsi="宋体" w:eastAsia="宋体" w:cs="宋体"/>
          <w:i w:val="0"/>
          <w:iCs w:val="0"/>
          <w:caps w:val="0"/>
          <w:color w:val="333333"/>
          <w:spacing w:val="0"/>
          <w:sz w:val="44"/>
          <w:szCs w:val="4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1325" w:firstLineChars="300"/>
        <w:jc w:val="both"/>
        <w:textAlignment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湘西自治州商务局部门整体支出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绩效评价报告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pacing w:val="-2"/>
          <w:kern w:val="2"/>
          <w:sz w:val="32"/>
          <w:szCs w:val="32"/>
          <w:lang w:val="en" w:eastAsia="zh-CN" w:bidi="ar-SA"/>
        </w:rPr>
      </w:pPr>
      <w:r>
        <w:rPr>
          <w:rFonts w:hint="default" w:ascii="宋体" w:hAnsi="宋体" w:eastAsia="宋体" w:cs="宋体"/>
          <w:i w:val="0"/>
          <w:iCs w:val="0"/>
          <w:caps w:val="0"/>
          <w:color w:val="333333"/>
          <w:spacing w:val="0"/>
          <w:sz w:val="44"/>
          <w:szCs w:val="44"/>
          <w:shd w:val="clear" w:fill="FFFFFF"/>
          <w:lang w:val="en"/>
        </w:rPr>
        <w:t xml:space="preserve">  </w:t>
      </w:r>
      <w:r>
        <w:rPr>
          <w:rFonts w:hint="default" w:ascii="仿宋" w:hAnsi="仿宋" w:eastAsia="仿宋" w:cs="仿宋"/>
          <w:spacing w:val="-2"/>
          <w:kern w:val="2"/>
          <w:sz w:val="32"/>
          <w:szCs w:val="32"/>
          <w:lang w:val="en" w:eastAsia="zh-CN" w:bidi="ar-SA"/>
        </w:rPr>
        <w:t xml:space="preserve"> </w:t>
      </w:r>
      <w:r>
        <w:rPr>
          <w:rFonts w:hint="eastAsia" w:ascii="仿宋" w:hAnsi="仿宋" w:eastAsia="仿宋" w:cs="仿宋"/>
          <w:spacing w:val="-2"/>
          <w:kern w:val="2"/>
          <w:sz w:val="32"/>
          <w:szCs w:val="32"/>
          <w:lang w:val="en-US" w:eastAsia="zh-CN" w:bidi="ar-SA"/>
        </w:rPr>
        <w:t>为进一步规范财政资金管理，建立全方位、全过程、全覆盖的预算绩效管理体系，强化部门责任意识，切实提高财政资金使用效益，提升预算绩效管理水平，根据中共中央国务院《关于全面实施预算绩效管理的意见》（中发〔2018〕34号）、《中共湖南省委办公厅 湖南省人民政府办公厅关于全面实施预算绩效管理的实施意见》（湘办发〔2019〕10号）、《湖南省财政厅关于印发〈湖南省预算支出绩效评价管理办法〉的通知》（湘财绩〔2020〕7号）和《湘西自治州州级预算部门整体支出绩效自评操作规程》（州财绩〔2021〕6 号）等文件精神，本单位运用科学、合理的绩效评价指标、评价标准和评价方法，在收集、汇总、整理、分析相关资料及实地调研核查的基础上，对州商务局2021年度部门整体支出的绩效情况进行了客观、公正的评价（本次评价为州商务局本级及其归口管理的3个二级机构汇总）。现将情况汇报如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4" w:firstLineChars="200"/>
        <w:textAlignment w:val="center"/>
        <w:rPr>
          <w:rFonts w:hint="eastAsia" w:ascii="仿宋" w:hAnsi="仿宋" w:eastAsia="仿宋" w:cs="仿宋"/>
          <w:b/>
          <w:bCs/>
          <w:spacing w:val="-2"/>
          <w:kern w:val="2"/>
          <w:sz w:val="32"/>
          <w:szCs w:val="32"/>
          <w:lang w:val="en-US" w:eastAsia="zh-CN" w:bidi="ar-SA"/>
        </w:rPr>
      </w:pPr>
      <w:r>
        <w:rPr>
          <w:rFonts w:hint="eastAsia" w:ascii="仿宋" w:hAnsi="仿宋" w:eastAsia="仿宋" w:cs="仿宋"/>
          <w:b/>
          <w:bCs/>
          <w:spacing w:val="-2"/>
          <w:kern w:val="2"/>
          <w:sz w:val="32"/>
          <w:szCs w:val="32"/>
          <w:lang w:val="en-US" w:eastAsia="zh-CN" w:bidi="ar-SA"/>
        </w:rPr>
        <w:t>一、基本情况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（一）部门（单位）基本情况，部门职责概述。</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州商务局为正处级全额拨款（行政）单位,事业单位法人证书统一社会信用代码114331000066864290，办公地址：湖南省湘西土家族苗族自治州吉首市世纪大道3号。局机关内设办公室（法规科）、财务科、招商联络科、承接产业转移科、市场运行调节科、市场体系建设科、流通产业发展科、电子商务科、对外贸易科、对外经济合作科、口岸科、人事科、机关党委、离退休人员管理服务科。单位下设3个二级机构,其中独立核算二级单位3个：湘西州商务局机关老干服务中心、湘西土家族苗族自治州投资促进事务局、湘西土家族苗族自治州投资贸易促进中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州商务局的主要职责：</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一）贯彻执行国家和省国内外贸易、国际经济合作及区域经济合作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（四）参与指导协调整顿和规范市场经济秩序工作，拟订规范市场秩序的政策；推动商务领域信用建设，指导商业信用销售，建立市场诚信公共服务平台；按有关规定对特殊流通行业进行监督。</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五）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（七）贯彻执行国家对外技术贸易、出口管制以及鼓励技术和成套设备进出口的贸易政策，推进进出口贸易标准化工作；依法监督技术引进、设备进口、国家限制出口技术的工作。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（八）牵头拟订服务贸易发展规划，并开展相关工作；会同有关部门制定促进服务出口、服务外包的规划、政策，并组织实施；推动服务外包平台建设。</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九）贯彻执行我国多双边（含区域、自由贸易区）经贸合作战略和政策，推进我州与其他国家（地区）的经贸往来与投资贸易合作；牵头承担我州商务领域涉及世界贸易事务的相关工作，负责对外经济贸易协调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（十）承担组织协调反倾销、反补贴、保障措施及其他与进出口公平贸易相关工作，协助开展对外贸易调查和产业损害调查，指导协调产业安全应对工作。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备案工作；规范招商引资活动；指导各级经济技术开发区的有关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（十三）贯彻执行国家对外援助政策和方案，协调管理参与监督全州对外援助项目；协调管理多双边对我州的无偿援助和赠款（不含财政合作项目外国政府及国际金融组织的赠款）等发展合作业务。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（十四）贯彻执行国家对香港、澳门特别行政区和台湾地区的经贸规划、政策，指导我州对港、澳、台地区贸易和经贸活动，协调港、澳、台商投资管理工作。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（十五）负责全州对外开放口岸的规划、申报及有关审批工作；协调管理全州口岸工作，推动建立大通关机制；协调配合打击走私相关工作。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（十六）承担会展业促进与管理工作责任，参与指导在本州境内举办的对外经济技术展览会工作。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（十七）承担全州商务系统统计及其信息发布工作，提供信息咨询服务，指导全州流通领域信息网络和电子商务建设。</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（十八）指导协调石油工作；指导县市、湘西经济开发区管委会的商务、招资引资工作。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（十九）承办州人民政府交办的其他事项。</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部门（单位）年度整体支出绩效目标，州级专项资金绩效目标、其他项目支出（除州级专项资金以外）绩效目标</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单位年度整体支出绩效目标：坚持稳中求进工作总基调，贯彻落实省委、州委创新引领、开放崛起战略，大力推进产业项目招商，努力扩大对外贸易，加快我州企业“走出去”步伐；搞活内贸流通，重点培育线上商贸流通企业，推进电子商务与物流园区融合发展，积极发展与现代城市相适应的家政服务；搞好国有企业改革改制，优化环境，规范经营秩序，推动我州经济又好又快发展。</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2、州级专项资金绩效目标：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 xml:space="preserve">1、全年招商引资引进省外境内资金123亿人民币，直接利用外资增长20%以上（以最终下达的任务数为准） </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2、完成进出口总额11.4亿人民币(以最终下达的任务数为准)；</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3、全年电子商务交易额达80亿元以上；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二、一般公共预算支出情况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（一）基本支出情况</w:t>
      </w:r>
    </w:p>
    <w:p>
      <w:pPr>
        <w:keepNext w:val="0"/>
        <w:keepLines w:val="0"/>
        <w:pageBreakBefore w:val="0"/>
        <w:kinsoku/>
        <w:wordWrap/>
        <w:overflowPunct/>
        <w:topLinePunct w:val="0"/>
        <w:autoSpaceDE/>
        <w:autoSpaceDN/>
        <w:bidi w:val="0"/>
        <w:adjustRightInd/>
        <w:snapToGrid/>
        <w:spacing w:line="560" w:lineRule="exact"/>
        <w:ind w:firstLine="316" w:firstLineChars="1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2021年州商务局部门基本支出决算数16,833,571.47元。具体明细如下：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工资福利支出7,482,202.71元，其中：基本工资2,595,638.00元，津贴补贴1,388,099.00元，奖金170,542.00元，绩效工资525,041.00元，机关事业单位基本养老保险缴费757,025.40元，职业年金缴费2,186.88元，职工基本医疗保险缴费459,398.43元，其他社会保障缴费143,353.53元，住房公积金995,778.00元，医疗费41,000.00元，其他工资福利支出404,140.47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2、商品和服务支出2,234,290.66元，其中：办公费137,902.07元，手续费2,518.00元，水费77,153.00元，电费68,361.36元，邮电费7,666.59元，物业管理费138,945.65元，差旅费85,916.00元，维修（护）费139,875.00 元，租赁费2,500.00元，培训费40,387.50元，公务接待费1,941.00元，劳务费71,162.93元，工会经费165,005.65元，福利费365,900.00元,其他交通费用460,377.76元，税金及附加费用14,866.97元，其他商品和服务支出453,811.18元；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3、对个人和家庭的补助7,110,153.10元，其中：离休费120,244.00元，抚恤金601,134.00元，生活补助144,630.00元，医疗补助费572,741.10元，奖励金3,405,953.00元，其他对个人和家庭的补助2,265,451.00元；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4、资本性支出6,925.00元，其中：办公设备购置6,925.00元。</w:t>
      </w:r>
    </w:p>
    <w:p>
      <w:pPr>
        <w:keepNext w:val="0"/>
        <w:keepLines w:val="0"/>
        <w:pageBreakBefore w:val="0"/>
        <w:kinsoku/>
        <w:wordWrap/>
        <w:overflowPunct/>
        <w:topLinePunct w:val="0"/>
        <w:autoSpaceDE/>
        <w:autoSpaceDN/>
        <w:bidi w:val="0"/>
        <w:adjustRightInd/>
        <w:snapToGrid/>
        <w:spacing w:line="560" w:lineRule="exact"/>
        <w:ind w:firstLine="643"/>
        <w:rPr>
          <w:rFonts w:eastAsia="楷体_GB2312"/>
          <w:b/>
          <w:bCs/>
          <w:sz w:val="32"/>
          <w:szCs w:val="32"/>
        </w:rPr>
      </w:pPr>
      <w:r>
        <w:rPr>
          <w:rFonts w:eastAsia="楷体_GB2312"/>
          <w:b/>
          <w:bCs/>
          <w:sz w:val="32"/>
          <w:szCs w:val="32"/>
        </w:rPr>
        <w:t>（二）项目支出情</w:t>
      </w:r>
      <w:r>
        <w:rPr>
          <w:rFonts w:hint="eastAsia" w:cs="宋体"/>
          <w:b/>
          <w:bCs/>
          <w:sz w:val="32"/>
          <w:szCs w:val="32"/>
        </w:rPr>
        <w:t>况</w:t>
      </w:r>
    </w:p>
    <w:p>
      <w:pPr>
        <w:pStyle w:val="14"/>
        <w:keepNext w:val="0"/>
        <w:keepLines w:val="0"/>
        <w:pageBreakBefore w:val="0"/>
        <w:widowControl/>
        <w:kinsoku/>
        <w:wordWrap/>
        <w:overflowPunct/>
        <w:topLinePunct w:val="0"/>
        <w:autoSpaceDE/>
        <w:autoSpaceDN/>
        <w:bidi w:val="0"/>
        <w:adjustRightInd/>
        <w:snapToGrid/>
        <w:spacing w:line="560" w:lineRule="exact"/>
        <w:ind w:left="0" w:leftChars="0" w:firstLine="948" w:firstLineChars="3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2021年州商务局部门项目支出决算数10,915,824.06元。具体明细如下：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商品和服务支出9799561.56元，其中：办公费359445.91元，印刷费105505.5元，手续费1114.4元，电费2000元，邮电费11180.02元，物业管理费92463元，差旅费422549.74元，维修（护）费117794.3元，租赁费500元，会议费120775.7元，培训费89319.5元，公务接待费161156元，劳务费201733.43元，公务用车运行维护费237289.29元，其他交通费用212681元,其他商品和服务支出7664053.77元；</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资本性支出404,213.00元，其中：办公设备购置104,313.00元,公务用车购置299,900.00元。</w:t>
      </w:r>
    </w:p>
    <w:p>
      <w:pPr>
        <w:pStyle w:val="14"/>
        <w:keepNext w:val="0"/>
        <w:keepLines w:val="0"/>
        <w:pageBreakBefore w:val="0"/>
        <w:widowControl/>
        <w:kinsoku/>
        <w:wordWrap/>
        <w:overflowPunct/>
        <w:topLinePunct w:val="0"/>
        <w:autoSpaceDE/>
        <w:autoSpaceDN/>
        <w:bidi w:val="0"/>
        <w:adjustRightInd/>
        <w:snapToGrid/>
        <w:spacing w:line="560" w:lineRule="exact"/>
        <w:ind w:firstLine="600"/>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一是州本级专项资金情况:</w:t>
      </w:r>
    </w:p>
    <w:p>
      <w:pPr>
        <w:pStyle w:val="14"/>
        <w:keepNext w:val="0"/>
        <w:keepLines w:val="0"/>
        <w:pageBreakBefore w:val="0"/>
        <w:widowControl/>
        <w:kinsoku/>
        <w:wordWrap/>
        <w:overflowPunct/>
        <w:topLinePunct w:val="0"/>
        <w:autoSpaceDE/>
        <w:autoSpaceDN/>
        <w:bidi w:val="0"/>
        <w:adjustRightInd/>
        <w:snapToGrid/>
        <w:spacing w:line="560" w:lineRule="exact"/>
        <w:ind w:firstLine="6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1、招商引资项目支出（2021年政府收支预算支出功能科目“2011308招商引资”）4,590,388.44元，具体明细如下：</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商品和服务支出4,275,935.44元，其中：办公费337,380.91元，印刷费100,471.00元，邮电费9,374.22元，物业管理费50,960.00元，差旅费271,383.75元，维修（护）费38,538.00元，租赁费500.00元，会议费118,271.70元，培训费24,342.00元，公务接待费153,018.00元，劳务费150,146.44元,公务用车运行维护费236,326.70元，其他交通费用199,598.00元，其他商品和服务支出2,585,624.72 元。</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316" w:firstLineChars="1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（2）资本性支出314,453.00元，其中：办公设备购置14,553.00元，公务用车购置299,900.00元。</w:t>
      </w:r>
    </w:p>
    <w:p>
      <w:pPr>
        <w:pStyle w:val="14"/>
        <w:keepNext w:val="0"/>
        <w:keepLines w:val="0"/>
        <w:pageBreakBefore w:val="0"/>
        <w:widowControl/>
        <w:kinsoku/>
        <w:wordWrap/>
        <w:overflowPunct/>
        <w:topLinePunct w:val="0"/>
        <w:autoSpaceDE/>
        <w:autoSpaceDN/>
        <w:bidi w:val="0"/>
        <w:adjustRightInd/>
        <w:snapToGrid/>
        <w:spacing w:line="560" w:lineRule="exact"/>
        <w:ind w:firstLine="6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2、电子商务发展专项资金（2021年政府收支预算支出功能科目2160299其他商务支出”）2766257.03元，，具体明细如下：</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商品和服务支出2,366,257.03元，其中：办公费7,789.50元，邮电费291.80元，差旅费52,721.00元，会议费2,504.00元，培训费12,427.50元，劳务费17,130.00元,公务用车运行维护费962.59元，其他交通费用680.00，其他商品和服务支出2,271,750.64元。</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（2）对企业补助400,000.00元，其中：其他对企业补助400,000.00元。</w:t>
      </w:r>
    </w:p>
    <w:p>
      <w:pPr>
        <w:pStyle w:val="14"/>
        <w:keepNext w:val="0"/>
        <w:keepLines w:val="0"/>
        <w:pageBreakBefore w:val="0"/>
        <w:widowControl/>
        <w:kinsoku/>
        <w:wordWrap/>
        <w:overflowPunct/>
        <w:topLinePunct w:val="0"/>
        <w:autoSpaceDE/>
        <w:autoSpaceDN/>
        <w:bidi w:val="0"/>
        <w:adjustRightInd/>
        <w:snapToGrid/>
        <w:spacing w:line="560" w:lineRule="exact"/>
        <w:ind w:firstLine="600"/>
        <w:rPr>
          <w:rFonts w:hint="eastAsia" w:ascii="宋体" w:hAnsi="宋体" w:eastAsia="宋体" w:cs="宋体"/>
          <w:b/>
          <w:bCs/>
          <w:color w:val="auto"/>
          <w:kern w:val="2"/>
          <w:sz w:val="30"/>
          <w:szCs w:val="30"/>
          <w:lang w:val="en-US" w:eastAsia="zh-CN" w:bidi="ar-SA"/>
        </w:rPr>
      </w:pPr>
      <w:r>
        <w:rPr>
          <w:rFonts w:hint="eastAsia" w:ascii="宋体" w:hAnsi="宋体" w:eastAsia="宋体" w:cs="宋体"/>
          <w:b/>
          <w:bCs/>
          <w:color w:val="auto"/>
          <w:kern w:val="2"/>
          <w:sz w:val="30"/>
          <w:szCs w:val="30"/>
          <w:lang w:val="en-US" w:eastAsia="zh-CN" w:bidi="ar-SA"/>
        </w:rPr>
        <w:t>二是州本级专项资金以外的其他项目支出情况：其他项目资金支出决算数3,559,178.59元，具体明细如下：</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商品和服务支出3,157,369.09元，其中：办公费14,275.50元，印刷费5,034.50元，手续费1,114.40元，电费2,000.00元，邮电费1,514.00元，物业管理费41,503.00元，差旅费98,444.99元，维修（护）费79,256.30元，培训费52,550.00元，公务接待费8,138.00元，劳务费34,456.99元，他交通费用12,403.00元，其他商品和服务支出2,806,678.41元;</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资本性支出89,760.00元，其中：办公设备购置89,760.00元;</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对企业补助312,049.50元,其中：其他对企业补助312,049.50元。</w:t>
      </w:r>
    </w:p>
    <w:p>
      <w:pPr>
        <w:keepNext w:val="0"/>
        <w:keepLines w:val="0"/>
        <w:pageBreakBefore w:val="0"/>
        <w:numPr>
          <w:ilvl w:val="0"/>
          <w:numId w:val="3"/>
        </w:numPr>
        <w:kinsoku/>
        <w:wordWrap/>
        <w:overflowPunct/>
        <w:topLinePunct w:val="0"/>
        <w:autoSpaceDE/>
        <w:autoSpaceDN/>
        <w:bidi w:val="0"/>
        <w:adjustRightInd/>
        <w:snapToGrid/>
        <w:spacing w:line="56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政府性基金预算支出情况</w:t>
      </w:r>
    </w:p>
    <w:p>
      <w:pPr>
        <w:pStyle w:val="9"/>
        <w:keepNext w:val="0"/>
        <w:keepLines w:val="0"/>
        <w:pageBreakBefore w:val="0"/>
        <w:kinsoku/>
        <w:wordWrap/>
        <w:overflowPunct/>
        <w:topLinePunct w:val="0"/>
        <w:autoSpaceDE/>
        <w:autoSpaceDN/>
        <w:bidi w:val="0"/>
        <w:adjustRightInd/>
        <w:snapToGrid/>
        <w:spacing w:line="560" w:lineRule="exact"/>
        <w:ind w:firstLine="1920" w:firstLineChars="600"/>
        <w:rPr>
          <w:rFonts w:hint="eastAsia"/>
        </w:rPr>
      </w:pPr>
      <w:r>
        <w:rPr>
          <w:rFonts w:hint="eastAsia" w:eastAsia="黑体"/>
          <w:lang w:val="en-US" w:eastAsia="zh-CN"/>
        </w:rPr>
        <w:t>无</w:t>
      </w:r>
    </w:p>
    <w:p>
      <w:pPr>
        <w:keepNext w:val="0"/>
        <w:keepLines w:val="0"/>
        <w:pageBreakBefore w:val="0"/>
        <w:kinsoku/>
        <w:wordWrap/>
        <w:overflowPunct/>
        <w:topLinePunct w:val="0"/>
        <w:autoSpaceDE/>
        <w:autoSpaceDN/>
        <w:bidi w:val="0"/>
        <w:adjustRightInd/>
        <w:snapToGrid/>
        <w:spacing w:line="56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四、国有资本经营预算支出情况</w:t>
      </w:r>
    </w:p>
    <w:p>
      <w:pPr>
        <w:pStyle w:val="9"/>
        <w:keepNext w:val="0"/>
        <w:keepLines w:val="0"/>
        <w:pageBreakBefore w:val="0"/>
        <w:kinsoku/>
        <w:wordWrap/>
        <w:overflowPunct/>
        <w:topLinePunct w:val="0"/>
        <w:autoSpaceDE/>
        <w:autoSpaceDN/>
        <w:bidi w:val="0"/>
        <w:adjustRightInd/>
        <w:snapToGrid/>
        <w:spacing w:line="560" w:lineRule="exact"/>
        <w:ind w:firstLine="1920" w:firstLineChars="600"/>
        <w:rPr>
          <w:rFonts w:hint="default" w:eastAsia="黑体"/>
          <w:lang w:val="en-US" w:eastAsia="zh-CN"/>
        </w:rPr>
      </w:pPr>
      <w:bookmarkStart w:id="0" w:name="_Hlk41593237"/>
      <w:bookmarkEnd w:id="0"/>
      <w:r>
        <w:rPr>
          <w:rFonts w:hint="eastAsia" w:eastAsia="黑体"/>
          <w:lang w:val="en-US" w:eastAsia="zh-CN"/>
        </w:rPr>
        <w:t>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五、社会保险基金预算支出情况</w:t>
      </w:r>
    </w:p>
    <w:p>
      <w:pPr>
        <w:pStyle w:val="9"/>
        <w:keepNext w:val="0"/>
        <w:keepLines w:val="0"/>
        <w:pageBreakBefore w:val="0"/>
        <w:kinsoku/>
        <w:wordWrap/>
        <w:overflowPunct/>
        <w:topLinePunct w:val="0"/>
        <w:autoSpaceDE/>
        <w:autoSpaceDN/>
        <w:bidi w:val="0"/>
        <w:adjustRightInd/>
        <w:snapToGrid/>
        <w:spacing w:line="560" w:lineRule="exact"/>
        <w:ind w:firstLine="1920" w:firstLineChars="600"/>
        <w:rPr>
          <w:rFonts w:hint="default" w:eastAsia="黑体"/>
          <w:lang w:val="en-US" w:eastAsia="zh-CN"/>
        </w:rPr>
      </w:pPr>
      <w:r>
        <w:rPr>
          <w:rFonts w:hint="eastAsia" w:eastAsia="黑体"/>
          <w:lang w:val="en-US" w:eastAsia="zh-CN"/>
        </w:rPr>
        <w:t>无</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center"/>
        <w:rPr>
          <w:rFonts w:hint="eastAsia" w:ascii="宋体" w:hAnsi="宋体" w:eastAsia="宋体" w:cs="宋体"/>
          <w:b/>
          <w:bCs/>
          <w:sz w:val="32"/>
          <w:szCs w:val="32"/>
        </w:rPr>
      </w:pPr>
      <w:r>
        <w:rPr>
          <w:rFonts w:hint="eastAsia" w:ascii="Times New Roman" w:hAnsi="Times New Roman" w:eastAsia="黑体" w:cs="Times New Roman"/>
          <w:kern w:val="2"/>
          <w:sz w:val="32"/>
          <w:szCs w:val="32"/>
          <w:lang w:val="en-US" w:eastAsia="zh-CN" w:bidi="ar-SA"/>
        </w:rPr>
        <w:t>部门整体支出绩效情况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2021年，全州商务系统在州委州政府的坚强领导下，主动落实“三高四新”战略定位和使命任务，紧紧围绕“三区两地”发展定位和“五个湘西”主攻方向，主动应对国际国内复杂经济形势、新冠肺炎疫情不利影响，积极围绕打造武陵山区承接产业转移新高地，工作成效显著。</w:t>
      </w:r>
      <w:r>
        <w:rPr>
          <w:rFonts w:hint="eastAsia" w:ascii="仿宋_GB2312" w:hAnsi="黑体" w:eastAsia="仿宋_GB2312"/>
          <w:color w:val="000000"/>
          <w:sz w:val="32"/>
          <w:szCs w:val="32"/>
          <w:highlight w:val="none"/>
          <w:lang w:eastAsia="zh-CN"/>
        </w:rPr>
        <w:t>全</w:t>
      </w:r>
      <w:r>
        <w:rPr>
          <w:rFonts w:hint="eastAsia" w:ascii="仿宋_GB2312" w:hAnsi="黑体" w:eastAsia="仿宋_GB2312"/>
          <w:color w:val="000000"/>
          <w:sz w:val="32"/>
          <w:szCs w:val="32"/>
          <w:highlight w:val="none"/>
        </w:rPr>
        <w:t>州商务和开放型经济工作取得了“六个第一”的好成绩，即：一是我州</w:t>
      </w:r>
      <w:r>
        <w:rPr>
          <w:rFonts w:hint="eastAsia" w:ascii="仿宋_GB2312" w:hAnsi="仿宋_GB2312" w:eastAsia="仿宋_GB2312" w:cs="仿宋_GB2312"/>
          <w:color w:val="000000"/>
          <w:sz w:val="32"/>
          <w:szCs w:val="32"/>
          <w:highlight w:val="none"/>
        </w:rPr>
        <w:t>招商引资内资到位资金增幅34.7%，排名全省第一；二是我州外贸进出口总额增幅50.8%，排名全省第一；三是我州成为实施全国电子商务进农村综合示范项目建设</w:t>
      </w:r>
      <w:r>
        <w:rPr>
          <w:rFonts w:hint="eastAsia" w:ascii="仿宋_GB2312" w:hAnsi="仿宋_GB2312" w:eastAsia="仿宋_GB2312" w:cs="仿宋_GB2312"/>
          <w:bCs/>
          <w:color w:val="000000"/>
          <w:sz w:val="32"/>
          <w:szCs w:val="32"/>
          <w:highlight w:val="none"/>
        </w:rPr>
        <w:t>第一个全覆盖的</w:t>
      </w:r>
      <w:r>
        <w:rPr>
          <w:rFonts w:hint="eastAsia" w:ascii="仿宋_GB2312" w:hAnsi="仿宋_GB2312" w:eastAsia="仿宋_GB2312" w:cs="仿宋_GB2312"/>
          <w:color w:val="000000"/>
          <w:sz w:val="32"/>
          <w:szCs w:val="32"/>
          <w:highlight w:val="none"/>
        </w:rPr>
        <w:t>少数民族自治州；四是我州第一个在全省率先实施乡村振兴农村电商示范站点标准化升级改造建设工程；五是我州电子商务交易额第一次突破百亿元大关；六是</w:t>
      </w:r>
      <w:r>
        <w:rPr>
          <w:rFonts w:hint="eastAsia" w:ascii="仿宋_GB2312" w:hAnsi="仿宋_GB2312" w:eastAsia="仿宋_GB2312" w:cs="仿宋_GB2312"/>
          <w:bCs/>
          <w:color w:val="000000"/>
          <w:sz w:val="32"/>
          <w:szCs w:val="32"/>
          <w:highlight w:val="none"/>
        </w:rPr>
        <w:t>我州商务系统第一次荣获湖南省人民政府真抓实干督查激励表彰</w:t>
      </w:r>
      <w:r>
        <w:rPr>
          <w:rFonts w:hint="eastAsia" w:ascii="仿宋_GB2312" w:hAnsi="黑体" w:eastAsia="仿宋_GB2312"/>
          <w:color w:val="000000"/>
          <w:sz w:val="32"/>
          <w:szCs w:val="32"/>
          <w:highlight w:val="none"/>
        </w:rPr>
        <w:t>。</w:t>
      </w:r>
      <w:r>
        <w:rPr>
          <w:rFonts w:hint="eastAsia" w:ascii="仿宋_GB2312" w:hAnsi="黑体" w:eastAsia="仿宋_GB2312"/>
          <w:color w:val="000000" w:themeColor="text1"/>
          <w:sz w:val="32"/>
          <w:szCs w:val="32"/>
          <w:highlight w:val="none"/>
          <w:lang w:eastAsia="zh-CN"/>
          <w14:textFill>
            <w14:solidFill>
              <w14:schemeClr w14:val="tx1"/>
            </w14:solidFill>
          </w14:textFill>
        </w:rPr>
        <w:t>现将工作情况报告</w:t>
      </w:r>
      <w:r>
        <w:rPr>
          <w:rFonts w:hint="eastAsia" w:ascii="仿宋_GB2312" w:hAnsi="黑体" w:eastAsia="仿宋_GB2312"/>
          <w:color w:val="000000" w:themeColor="text1"/>
          <w:sz w:val="32"/>
          <w:szCs w:val="32"/>
          <w:highlight w:val="none"/>
          <w14:textFill>
            <w14:solidFill>
              <w14:schemeClr w14:val="tx1"/>
            </w14:solidFill>
          </w14:textFill>
        </w:rPr>
        <w:t>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一、2021年商务和开放型经济工作情况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2021年</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w:t>
      </w:r>
      <w:r>
        <w:rPr>
          <w:rFonts w:hint="eastAsia" w:ascii="仿宋_GB2312" w:hAnsi="黑体" w:eastAsia="仿宋_GB2312"/>
          <w:color w:val="000000" w:themeColor="text1"/>
          <w:sz w:val="32"/>
          <w:szCs w:val="32"/>
          <w:highlight w:val="none"/>
          <w14:textFill>
            <w14:solidFill>
              <w14:schemeClr w14:val="tx1"/>
            </w14:solidFill>
          </w14:textFill>
        </w:rPr>
        <w:t>全州商务部门紧紧围绕党委政府的中心工作，克难奋进、主动求进、稳中有进，工作突破发展。吉首市的商务和发展开放型经济工作荣获省人民政府真抓实干督查激励表彰，州商务局被评为全州美丽湘西建设、民族团结进步、安全生产先进单位。州商务局、凤凰县商务局荣获全省商务工作（内贸）先进单位，花垣县商务局荣获全省商务工作先进单位，龙山县商务局荣获全省商务工作（外贸）先进单位，泸溪县商务局荣获全省商务工作（利用外资）先进单位，永顺县商务局荣获全省商务工作（外经）先进单位，湘西高新区荣获全省商务工作先进园区。</w:t>
      </w:r>
    </w:p>
    <w:p>
      <w:pPr>
        <w:keepNext w:val="0"/>
        <w:keepLines w:val="0"/>
        <w:pageBreakBefore w:val="0"/>
        <w:kinsoku/>
        <w:wordWrap/>
        <w:overflowPunct/>
        <w:topLinePunct w:val="0"/>
        <w:autoSpaceDE/>
        <w:autoSpaceDN/>
        <w:bidi w:val="0"/>
        <w:adjustRightInd/>
        <w:snapToGrid/>
        <w:spacing w:line="560" w:lineRule="exact"/>
        <w:ind w:firstLine="642" w:firstLineChars="200"/>
        <w:rPr>
          <w:rFonts w:ascii="楷体_GB2312" w:hAnsi="黑体" w:eastAsia="楷体_GB2312"/>
          <w:color w:val="000000" w:themeColor="text1"/>
          <w:sz w:val="32"/>
          <w:szCs w:val="32"/>
          <w:highlight w:val="none"/>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一是主要经济指标持续上扬。</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全年省外境内资金到位180.88亿元，同比增长34.7%，增幅排全省第1</w:t>
      </w:r>
      <w:r>
        <w:rPr>
          <w:rFonts w:hint="eastAsia" w:ascii="仿宋_GB2312" w:hAnsi="黑体" w:eastAsia="仿宋_GB2312"/>
          <w:color w:val="000000" w:themeColor="text1"/>
          <w:sz w:val="32"/>
          <w:szCs w:val="32"/>
          <w:highlight w:val="none"/>
          <w14:textFill>
            <w14:solidFill>
              <w14:schemeClr w14:val="tx1"/>
            </w14:solidFill>
          </w14:textFill>
        </w:rPr>
        <w:t>。直接利用外资305万美元，同比增长46.63%。新增注册外资企业13家，为历史以来最多</w:t>
      </w:r>
      <w:r>
        <w:rPr>
          <w:rFonts w:hint="eastAsia" w:ascii="仿宋_GB2312" w:hAnsi="黑体" w:eastAsia="仿宋_GB2312"/>
          <w:bCs/>
          <w:color w:val="000000" w:themeColor="text1"/>
          <w:sz w:val="32"/>
          <w:szCs w:val="32"/>
          <w:highlight w:val="none"/>
          <w14:textFill>
            <w14:solidFill>
              <w14:schemeClr w14:val="tx1"/>
            </w14:solidFill>
          </w14:textFill>
        </w:rPr>
        <w:t>的</w:t>
      </w:r>
      <w:r>
        <w:rPr>
          <w:rFonts w:hint="eastAsia" w:ascii="仿宋_GB2312" w:hAnsi="黑体" w:eastAsia="仿宋_GB2312"/>
          <w:color w:val="000000" w:themeColor="text1"/>
          <w:sz w:val="32"/>
          <w:szCs w:val="32"/>
          <w:highlight w:val="none"/>
          <w14:textFill>
            <w14:solidFill>
              <w14:schemeClr w14:val="tx1"/>
            </w14:solidFill>
          </w14:textFill>
        </w:rPr>
        <w:t>一年。外贸进出口总额16.84亿元，同比增长50.8%，增幅排全省第一。电子商务交易额108.24亿元，同比增长36.18%，交易额首次突破百亿元大关。社会消费品零售总额278.3亿元，同比增长14.3%，预计完成限额以上商贸流通企业入规40家（含大个体户）。</w:t>
      </w:r>
    </w:p>
    <w:p>
      <w:pPr>
        <w:keepNext w:val="0"/>
        <w:keepLines w:val="0"/>
        <w:pageBreakBefore w:val="0"/>
        <w:kinsoku/>
        <w:wordWrap/>
        <w:overflowPunct/>
        <w:topLinePunct w:val="0"/>
        <w:autoSpaceDE/>
        <w:autoSpaceDN/>
        <w:bidi w:val="0"/>
        <w:adjustRightInd/>
        <w:snapToGrid/>
        <w:spacing w:line="560" w:lineRule="exact"/>
        <w:ind w:firstLine="642"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二是重大项目建设有力推进。</w:t>
      </w:r>
      <w:r>
        <w:rPr>
          <w:rFonts w:hint="eastAsia" w:ascii="仿宋_GB2312" w:hAnsi="黑体" w:eastAsia="仿宋_GB2312"/>
          <w:color w:val="000000" w:themeColor="text1"/>
          <w:sz w:val="32"/>
          <w:szCs w:val="32"/>
          <w:highlight w:val="none"/>
          <w14:textFill>
            <w14:solidFill>
              <w14:schemeClr w14:val="tx1"/>
            </w14:solidFill>
          </w14:textFill>
        </w:rPr>
        <w:t>招大引强突破发展，全年引进“三类500强”企业新投资项目13个，同比增长</w:t>
      </w:r>
      <w:r>
        <w:rPr>
          <w:rFonts w:hint="eastAsia" w:ascii="仿宋_GB2312" w:hAnsi="黑体" w:eastAsia="仿宋_GB2312"/>
          <w:color w:val="000000" w:themeColor="text1"/>
          <w:sz w:val="32"/>
          <w:szCs w:val="32"/>
          <w14:textFill>
            <w14:solidFill>
              <w14:schemeClr w14:val="tx1"/>
            </w14:solidFill>
          </w14:textFill>
        </w:rPr>
        <w:t>200%，项目个数创历史</w:t>
      </w:r>
      <w:r>
        <w:rPr>
          <w:rFonts w:hint="eastAsia" w:ascii="仿宋_GB2312" w:hAnsi="黑体" w:eastAsia="仿宋_GB2312"/>
          <w:bCs/>
          <w:color w:val="000000" w:themeColor="text1"/>
          <w:sz w:val="32"/>
          <w:szCs w:val="32"/>
          <w14:textFill>
            <w14:solidFill>
              <w14:schemeClr w14:val="tx1"/>
            </w14:solidFill>
          </w14:textFill>
        </w:rPr>
        <w:t>之最</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加快“五好”园区建设</w:t>
      </w:r>
      <w:r>
        <w:rPr>
          <w:rFonts w:hint="eastAsia" w:ascii="仿宋_GB2312" w:hAnsi="仿宋_GB2312" w:eastAsia="仿宋_GB2312" w:cs="仿宋_GB2312"/>
          <w:bCs/>
          <w:color w:val="000000" w:themeColor="text1"/>
          <w:sz w:val="32"/>
          <w:szCs w:val="32"/>
          <w14:textFill>
            <w14:solidFill>
              <w14:schemeClr w14:val="tx1"/>
            </w14:solidFill>
          </w14:textFill>
        </w:rPr>
        <w:t>招商</w:t>
      </w:r>
      <w:r>
        <w:rPr>
          <w:rFonts w:hint="eastAsia" w:ascii="仿宋_GB2312" w:hAnsi="仿宋_GB2312" w:eastAsia="仿宋_GB2312" w:cs="仿宋_GB2312"/>
          <w:color w:val="000000" w:themeColor="text1"/>
          <w:sz w:val="32"/>
          <w:szCs w:val="32"/>
          <w14:textFill>
            <w14:solidFill>
              <w14:schemeClr w14:val="tx1"/>
            </w14:solidFill>
          </w14:textFill>
        </w:rPr>
        <w:t>，全</w:t>
      </w:r>
      <w:r>
        <w:rPr>
          <w:rFonts w:hint="eastAsia" w:ascii="仿宋_GB2312" w:hAnsi="黑体" w:eastAsia="仿宋_GB2312"/>
          <w:color w:val="000000" w:themeColor="text1"/>
          <w:sz w:val="32"/>
          <w:szCs w:val="32"/>
          <w14:textFill>
            <w14:solidFill>
              <w14:schemeClr w14:val="tx1"/>
            </w14:solidFill>
          </w14:textFill>
        </w:rPr>
        <w:t>州产业园区省外境内到位资金90.7亿元，占全州省外境内到位资金总量的58.5%。</w:t>
      </w:r>
      <w:r>
        <w:rPr>
          <w:rFonts w:hint="eastAsia" w:ascii="仿宋_GB2312" w:hAnsi="仿宋_GB2312" w:eastAsia="仿宋_GB2312" w:cs="仿宋_GB2312"/>
          <w:bCs/>
          <w:color w:val="000000" w:themeColor="text1"/>
          <w:sz w:val="32"/>
          <w:szCs w:val="32"/>
          <w:lang w:val="en"/>
          <w14:textFill>
            <w14:solidFill>
              <w14:schemeClr w14:val="tx1"/>
            </w14:solidFill>
          </w14:textFill>
        </w:rPr>
        <w:t>加快</w:t>
      </w:r>
      <w:r>
        <w:rPr>
          <w:rFonts w:hint="eastAsia" w:ascii="仿宋_GB2312" w:hAnsi="仿宋_GB2312" w:eastAsia="仿宋_GB2312" w:cs="仿宋_GB2312"/>
          <w:bCs/>
          <w:color w:val="000000" w:themeColor="text1"/>
          <w:sz w:val="32"/>
          <w:szCs w:val="32"/>
          <w14:textFill>
            <w14:solidFill>
              <w14:schemeClr w14:val="tx1"/>
            </w14:solidFill>
          </w14:textFill>
        </w:rPr>
        <w:t>商贸物流产业建设，</w:t>
      </w:r>
      <w:r>
        <w:rPr>
          <w:rFonts w:hint="eastAsia" w:ascii="仿宋_GB2312" w:hAnsi="仿宋_GB2312" w:eastAsia="仿宋_GB2312" w:cs="仿宋_GB2312"/>
          <w:color w:val="000000" w:themeColor="text1"/>
          <w:kern w:val="0"/>
          <w:sz w:val="32"/>
          <w:szCs w:val="32"/>
          <w14:textFill>
            <w14:solidFill>
              <w14:schemeClr w14:val="tx1"/>
            </w14:solidFill>
          </w14:textFill>
        </w:rPr>
        <w:t>36个重点项目实现投资</w:t>
      </w:r>
      <w:r>
        <w:rPr>
          <w:rFonts w:hint="eastAsia" w:ascii="仿宋_GB2312" w:hAnsi="黑体" w:eastAsia="仿宋_GB2312"/>
          <w:color w:val="000000" w:themeColor="text1"/>
          <w:sz w:val="32"/>
          <w:szCs w:val="32"/>
          <w14:textFill>
            <w14:solidFill>
              <w14:schemeClr w14:val="tx1"/>
            </w14:solidFill>
          </w14:textFill>
        </w:rPr>
        <w:t>60.99亿元，</w:t>
      </w:r>
      <w:r>
        <w:rPr>
          <w:rFonts w:hint="eastAsia" w:ascii="仿宋_GB2312" w:hAnsi="仿宋_GB2312" w:eastAsia="仿宋_GB2312" w:cs="仿宋_GB2312"/>
          <w:color w:val="000000" w:themeColor="text1"/>
          <w:sz w:val="32"/>
          <w:szCs w:val="32"/>
          <w14:textFill>
            <w14:solidFill>
              <w14:schemeClr w14:val="tx1"/>
            </w14:solidFill>
          </w14:textFill>
        </w:rPr>
        <w:t>完成年度计划投资56.2亿元的105.8%，</w:t>
      </w:r>
      <w:r>
        <w:rPr>
          <w:rFonts w:hint="eastAsia" w:ascii="仿宋_GB2312" w:hAnsi="仿宋_GB2312" w:eastAsia="仿宋_GB2312" w:cs="仿宋_GB2312"/>
          <w:bCs/>
          <w:color w:val="000000" w:themeColor="text1"/>
          <w:sz w:val="32"/>
          <w:szCs w:val="32"/>
          <w14:textFill>
            <w14:solidFill>
              <w14:schemeClr w14:val="tx1"/>
            </w14:solidFill>
          </w14:textFill>
        </w:rPr>
        <w:t>吉首市经开区冷链物流仓储区建设项目（八大仓库）等一批商贸物流项目建成运营。加快</w:t>
      </w:r>
      <w:r>
        <w:rPr>
          <w:rFonts w:hint="eastAsia" w:ascii="仿宋_GB2312" w:hAnsi="仿宋_GB2312" w:eastAsia="仿宋_GB2312" w:cs="仿宋_GB2312"/>
          <w:color w:val="000000" w:themeColor="text1"/>
          <w:sz w:val="32"/>
          <w:szCs w:val="32"/>
          <w14:textFill>
            <w14:solidFill>
              <w14:schemeClr w14:val="tx1"/>
            </w14:solidFill>
          </w14:textFill>
        </w:rPr>
        <w:t>建设全国电子商务进农村综合示范项目建设，</w:t>
      </w:r>
      <w:r>
        <w:rPr>
          <w:rFonts w:hint="eastAsia" w:ascii="仿宋_GB2312" w:hAnsi="黑体" w:eastAsia="仿宋_GB2312"/>
          <w:color w:val="000000" w:themeColor="text1"/>
          <w:sz w:val="32"/>
          <w:szCs w:val="32"/>
          <w14:textFill>
            <w14:solidFill>
              <w14:schemeClr w14:val="tx1"/>
            </w14:solidFill>
          </w14:textFill>
        </w:rPr>
        <w:t>9个县级电商运营分拣中心基本建成，</w:t>
      </w:r>
      <w:r>
        <w:rPr>
          <w:rFonts w:hint="eastAsia" w:ascii="仿宋_GB2312" w:hAnsi="黑体" w:eastAsia="仿宋_GB2312"/>
          <w:color w:val="000000" w:themeColor="text1"/>
          <w:sz w:val="32"/>
          <w:szCs w:val="32"/>
          <w:lang w:eastAsia="zh-CN"/>
          <w14:textFill>
            <w14:solidFill>
              <w14:schemeClr w14:val="tx1"/>
            </w14:solidFill>
          </w14:textFill>
        </w:rPr>
        <w:t>面积</w:t>
      </w:r>
      <w:r>
        <w:rPr>
          <w:rFonts w:hint="eastAsia" w:ascii="仿宋_GB2312" w:hAnsi="黑体" w:eastAsia="仿宋_GB2312"/>
          <w:color w:val="000000" w:themeColor="text1"/>
          <w:sz w:val="32"/>
          <w:szCs w:val="32"/>
          <w:lang w:val="en-US" w:eastAsia="zh-CN"/>
          <w14:textFill>
            <w14:solidFill>
              <w14:schemeClr w14:val="tx1"/>
            </w14:solidFill>
          </w14:textFill>
        </w:rPr>
        <w:t>1.31万平方米。</w:t>
      </w:r>
      <w:r>
        <w:rPr>
          <w:rFonts w:hint="eastAsia" w:ascii="仿宋_GB2312" w:hAnsi="黑体" w:eastAsia="仿宋_GB2312"/>
          <w:color w:val="000000" w:themeColor="text1"/>
          <w:sz w:val="32"/>
          <w:szCs w:val="32"/>
          <w14:textFill>
            <w14:solidFill>
              <w14:schemeClr w14:val="tx1"/>
            </w14:solidFill>
          </w14:textFill>
        </w:rPr>
        <w:t>在全省率先</w:t>
      </w:r>
      <w:r>
        <w:rPr>
          <w:rFonts w:hint="eastAsia" w:ascii="仿宋_GB2312" w:hAnsi="仿宋_GB2312" w:eastAsia="仿宋_GB2312" w:cs="仿宋_GB2312"/>
          <w:color w:val="000000" w:themeColor="text1"/>
          <w:sz w:val="32"/>
          <w:szCs w:val="32"/>
          <w14:textFill>
            <w14:solidFill>
              <w14:schemeClr w14:val="tx1"/>
            </w14:solidFill>
          </w14:textFill>
        </w:rPr>
        <w:t>实施</w:t>
      </w:r>
      <w:r>
        <w:rPr>
          <w:rFonts w:hint="eastAsia" w:ascii="仿宋_GB2312" w:hAnsi="黑体" w:eastAsia="仿宋_GB2312"/>
          <w:color w:val="000000" w:themeColor="text1"/>
          <w:sz w:val="32"/>
          <w:szCs w:val="32"/>
          <w14:textFill>
            <w14:solidFill>
              <w14:schemeClr w14:val="tx1"/>
            </w14:solidFill>
          </w14:textFill>
        </w:rPr>
        <w:t>40个</w:t>
      </w:r>
      <w:r>
        <w:rPr>
          <w:rFonts w:hint="eastAsia" w:ascii="仿宋_GB2312" w:hAnsi="仿宋_GB2312" w:eastAsia="仿宋_GB2312" w:cs="仿宋_GB2312"/>
          <w:color w:val="000000" w:themeColor="text1"/>
          <w:sz w:val="32"/>
          <w:szCs w:val="32"/>
          <w14:textFill>
            <w14:solidFill>
              <w14:schemeClr w14:val="tx1"/>
            </w14:solidFill>
          </w14:textFill>
        </w:rPr>
        <w:t>乡村振兴农村电商示范站点标准化升级改造</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2"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三是重大经贸活动亮点频闪。</w:t>
      </w:r>
      <w:r>
        <w:rPr>
          <w:rFonts w:hint="eastAsia" w:ascii="仿宋_GB2312" w:hAnsi="楷体_GB2312" w:eastAsia="仿宋_GB2312" w:cs="楷体_GB2312"/>
          <w:bCs/>
          <w:color w:val="000000" w:themeColor="text1"/>
          <w:sz w:val="32"/>
          <w:szCs w:val="32"/>
          <w14:textFill>
            <w14:solidFill>
              <w14:schemeClr w14:val="tx1"/>
            </w14:solidFill>
          </w14:textFill>
        </w:rPr>
        <w:t>创新</w:t>
      </w:r>
      <w:r>
        <w:rPr>
          <w:rFonts w:hint="eastAsia" w:ascii="仿宋_GB2312" w:hAnsi="仿宋_GB2312" w:eastAsia="仿宋_GB2312" w:cs="仿宋_GB2312"/>
          <w:color w:val="000000" w:themeColor="text1"/>
          <w:sz w:val="32"/>
          <w:szCs w:val="32"/>
          <w14:textFill>
            <w14:solidFill>
              <w14:schemeClr w14:val="tx1"/>
            </w14:solidFill>
          </w14:textFill>
        </w:rPr>
        <w:t>务实</w:t>
      </w:r>
      <w:r>
        <w:rPr>
          <w:rFonts w:hint="eastAsia" w:ascii="仿宋_GB2312" w:hAnsi="仿宋_GB2312" w:eastAsia="仿宋_GB2312" w:cs="仿宋_GB2312"/>
          <w:bCs/>
          <w:color w:val="000000" w:themeColor="text1"/>
          <w:sz w:val="32"/>
          <w:szCs w:val="32"/>
          <w14:textFill>
            <w14:solidFill>
              <w14:schemeClr w14:val="tx1"/>
            </w14:solidFill>
          </w14:textFill>
        </w:rPr>
        <w:t>开展招商引资活动，先后</w:t>
      </w:r>
      <w:r>
        <w:rPr>
          <w:rFonts w:hint="eastAsia" w:ascii="仿宋_GB2312" w:hAnsi="黑体" w:eastAsia="仿宋_GB2312"/>
          <w:color w:val="000000" w:themeColor="text1"/>
          <w:sz w:val="32"/>
          <w:szCs w:val="32"/>
          <w14:textFill>
            <w14:solidFill>
              <w14:schemeClr w14:val="tx1"/>
            </w14:solidFill>
          </w14:textFill>
        </w:rPr>
        <w:t>举办湘西州（长沙）农业和商贸物流招商推介会、湘西州（深圳）优势产业专题招商推介会、“乘坐最美高铁 投资神秘湘西”云招商等一系列活动，新签约引进项目77个，合同引资424亿元，刷新年度新签项目个数的历史记录。组织企业参加第二届中非经贸博览会、第二届湖南（岳阳）口岸经贸博览会、首届海南消费品博览会等国内外重点展会，推介我州优质产品，对接国际贸易平台，有效扩大外贸“朋友圈”。我州与RCEP成员国贸易进出口达2.86亿元，同比增长161.7%，与“一带一路”沿线国家进出口实现5.64亿元，同比增长41.5%。深入开展市场促消费活动，紧扣全州</w:t>
      </w:r>
      <w:r>
        <w:rPr>
          <w:rFonts w:hint="eastAsia" w:ascii="仿宋_GB2312" w:hAnsi="仿宋_GB2312" w:eastAsia="仿宋_GB2312" w:cs="仿宋_GB2312"/>
          <w:color w:val="000000" w:themeColor="text1"/>
          <w:sz w:val="32"/>
          <w:szCs w:val="32"/>
          <w14:textFill>
            <w14:solidFill>
              <w14:schemeClr w14:val="tx1"/>
            </w14:solidFill>
          </w14:textFill>
        </w:rPr>
        <w:t>“湘西香伴”公共区域品牌，牵头</w:t>
      </w:r>
      <w:r>
        <w:rPr>
          <w:rFonts w:hint="eastAsia" w:ascii="仿宋_GB2312" w:hAnsi="黑体" w:eastAsia="仿宋_GB2312"/>
          <w:color w:val="000000" w:themeColor="text1"/>
          <w:sz w:val="32"/>
          <w:szCs w:val="32"/>
          <w14:textFill>
            <w14:solidFill>
              <w14:schemeClr w14:val="tx1"/>
            </w14:solidFill>
          </w14:textFill>
        </w:rPr>
        <w:t>完成全州柑橘、猕猴桃、葡萄等大宗农特产品销售额23.77亿元，受到各级党委政府和农民群众的一致认可。</w:t>
      </w:r>
      <w:r>
        <w:rPr>
          <w:rFonts w:hint="eastAsia" w:ascii="仿宋_GB2312" w:hAnsi="仿宋_GB2312" w:eastAsia="仿宋_GB2312" w:cs="仿宋_GB2312"/>
          <w:color w:val="000000" w:themeColor="text1"/>
          <w:sz w:val="32"/>
          <w:szCs w:val="32"/>
          <w14:textFill>
            <w14:solidFill>
              <w14:schemeClr w14:val="tx1"/>
            </w14:solidFill>
          </w14:textFill>
        </w:rPr>
        <w:t>重点</w:t>
      </w:r>
      <w:r>
        <w:rPr>
          <w:rFonts w:hint="eastAsia" w:ascii="仿宋_GB2312" w:hAnsi="仿宋_GB2312" w:eastAsia="仿宋_GB2312" w:cs="仿宋_GB2312"/>
          <w:bCs/>
          <w:color w:val="000000" w:themeColor="text1"/>
          <w:sz w:val="32"/>
          <w:szCs w:val="32"/>
          <w14:textFill>
            <w14:solidFill>
              <w14:schemeClr w14:val="tx1"/>
            </w14:solidFill>
          </w14:textFill>
        </w:rPr>
        <w:t>开展</w:t>
      </w:r>
      <w:r>
        <w:rPr>
          <w:rFonts w:hint="eastAsia" w:ascii="仿宋_GB2312" w:hAnsi="黑体" w:eastAsia="仿宋_GB2312"/>
          <w:color w:val="000000" w:themeColor="text1"/>
          <w:sz w:val="32"/>
          <w:szCs w:val="32"/>
          <w14:textFill>
            <w14:solidFill>
              <w14:schemeClr w14:val="tx1"/>
            </w14:solidFill>
          </w14:textFill>
        </w:rPr>
        <w:t>“乐享消费 湘当韵味”等一系列促消费活动，拉动市场消费38.72亿元，同比增长13.2%。</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rPr>
          <w:rFonts w:ascii="仿宋_GB2312" w:hAnsi="黑体" w:eastAsia="仿宋_GB2312"/>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四是创品夺牌工作成效显著。</w:t>
      </w:r>
      <w:r>
        <w:rPr>
          <w:rFonts w:hint="eastAsia" w:ascii="仿宋_GB2312" w:eastAsia="仿宋_GB2312"/>
          <w:color w:val="000000" w:themeColor="text1"/>
          <w:sz w:val="32"/>
          <w:szCs w:val="32"/>
          <w14:textFill>
            <w14:solidFill>
              <w14:schemeClr w14:val="tx1"/>
            </w14:solidFill>
          </w14:textFill>
        </w:rPr>
        <w:t>加强商务诚信体系建设，家政、成品油、餐饮等行业进一步规范发展</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深入宣传发动，扎实开展</w:t>
      </w:r>
      <w:r>
        <w:rPr>
          <w:rFonts w:hint="eastAsia" w:ascii="仿宋_GB2312" w:hAnsi="黑体" w:eastAsia="仿宋_GB2312"/>
          <w:color w:val="000000" w:themeColor="text1"/>
          <w:sz w:val="32"/>
          <w:szCs w:val="32"/>
          <w14:textFill>
            <w14:solidFill>
              <w14:schemeClr w14:val="tx1"/>
            </w14:solidFill>
          </w14:textFill>
        </w:rPr>
        <w:t>“味道湖南</w:t>
      </w:r>
      <w:r>
        <w:rPr>
          <w:rFonts w:hint="eastAsia" w:ascii="宋体" w:hAnsi="宋体" w:eastAsia="宋体" w:cs="宋体"/>
          <w:color w:val="000000" w:themeColor="text1"/>
          <w:sz w:val="32"/>
          <w:szCs w:val="32"/>
          <w14:textFill>
            <w14:solidFill>
              <w14:schemeClr w14:val="tx1"/>
            </w14:solidFill>
          </w14:textFill>
        </w:rPr>
        <w:t>•</w:t>
      </w:r>
      <w:r>
        <w:rPr>
          <w:rFonts w:hint="eastAsia" w:ascii="仿宋_GB2312" w:hAnsi="楷体_GB2312" w:eastAsia="仿宋_GB2312" w:cs="楷体_GB2312"/>
          <w:color w:val="000000" w:themeColor="text1"/>
          <w:sz w:val="32"/>
          <w:szCs w:val="32"/>
          <w14:textFill>
            <w14:solidFill>
              <w14:schemeClr w14:val="tx1"/>
            </w14:solidFill>
          </w14:textFill>
        </w:rPr>
        <w:t>湘西味道”评选活动，我州“牛头宴”</w:t>
      </w:r>
      <w:r>
        <w:rPr>
          <w:rFonts w:hint="eastAsia" w:ascii="仿宋_GB2312" w:hAnsi="黑体" w:eastAsia="仿宋_GB2312"/>
          <w:color w:val="000000" w:themeColor="text1"/>
          <w:sz w:val="32"/>
          <w:szCs w:val="32"/>
          <w14:textFill>
            <w14:solidFill>
              <w14:schemeClr w14:val="tx1"/>
            </w14:solidFill>
          </w14:textFill>
        </w:rPr>
        <w:t>荣获湖南省金牌菜，“乾州鸭”“苗家酸肉”“花垣性肠”“凤凰血粑鸭”荣获银牌菜</w:t>
      </w:r>
      <w:r>
        <w:rPr>
          <w:rFonts w:hint="eastAsia" w:ascii="仿宋_GB2312" w:hAnsi="楷体_GB2312" w:eastAsia="仿宋_GB2312" w:cs="楷体_GB2312"/>
          <w:color w:val="000000" w:themeColor="text1"/>
          <w:sz w:val="32"/>
          <w:szCs w:val="32"/>
          <w14:textFill>
            <w14:solidFill>
              <w14:schemeClr w14:val="tx1"/>
            </w14:solidFill>
          </w14:textFill>
        </w:rPr>
        <w:t>。大力举办湘西州直播带货暨短视频大赛，我州选手荣获全省网络直播带货优胜奖1个、最佳创作短视频奖2个。加强商业特色街道打造，吉首财信•商业街入选全省综合型试点，特色化、品牌化、规模化消费</w:t>
      </w:r>
      <w:r>
        <w:rPr>
          <w:rFonts w:hint="eastAsia" w:ascii="仿宋_GB2312" w:hAnsi="仿宋_GB2312" w:eastAsia="仿宋_GB2312" w:cs="仿宋_GB2312"/>
          <w:bCs/>
          <w:color w:val="000000" w:themeColor="text1"/>
          <w:sz w:val="32"/>
          <w:szCs w:val="32"/>
          <w14:textFill>
            <w14:solidFill>
              <w14:schemeClr w14:val="tx1"/>
            </w14:solidFill>
          </w14:textFill>
        </w:rPr>
        <w:t>加快发展。</w:t>
      </w:r>
    </w:p>
    <w:p>
      <w:pPr>
        <w:keepNext w:val="0"/>
        <w:keepLines w:val="0"/>
        <w:pageBreakBefore w:val="0"/>
        <w:kinsoku/>
        <w:wordWrap/>
        <w:overflowPunct/>
        <w:topLinePunct w:val="0"/>
        <w:autoSpaceDE/>
        <w:autoSpaceDN/>
        <w:bidi w:val="0"/>
        <w:adjustRightInd/>
        <w:snapToGrid/>
        <w:spacing w:line="56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五是党的建设持续深入推进。</w:t>
      </w:r>
      <w:r>
        <w:rPr>
          <w:rFonts w:hint="eastAsia" w:ascii="仿宋_GB2312" w:hAnsi="黑体" w:eastAsia="仿宋_GB2312"/>
          <w:color w:val="000000" w:themeColor="text1"/>
          <w:sz w:val="32"/>
          <w:szCs w:val="32"/>
          <w14:textFill>
            <w14:solidFill>
              <w14:schemeClr w14:val="tx1"/>
            </w14:solidFill>
          </w14:textFill>
        </w:rPr>
        <w:t>坚持党对商务工作的全面领导，将习近平总书记最新重要讲话精神和中央省州重大决策部署纳入党组会第一议题，深入开展党史学习教育，高标准推进“三表率一模范”机关建设，表彰优秀党支部2个、优秀党务工作者7人、优秀共产党员11人，颁发“光荣在党50年”纪念章28枚。州商务局离退休干部党支部被评为全州“五好”离退休干部党支部。州直学习贯彻党的十九届六中全会精神专题培训现场交流会在州商务局召开，“赓续红色基因 彰显商务担当”党建品牌建设和党建文化建设获得好评。统筹抓好老干、工青妇等工作。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在过去一年的工作中，全州商务部门在实践中形成了行之有效的工作经验：</w:t>
      </w:r>
      <w:r>
        <w:rPr>
          <w:rFonts w:hint="eastAsia" w:ascii="楷体_GB2312" w:hAnsi="仿宋_GB2312" w:eastAsia="楷体_GB2312" w:cs="仿宋_GB2312"/>
          <w:b/>
          <w:color w:val="000000" w:themeColor="text1"/>
          <w:sz w:val="32"/>
          <w:szCs w:val="32"/>
          <w14:textFill>
            <w14:solidFill>
              <w14:schemeClr w14:val="tx1"/>
            </w14:solidFill>
          </w14:textFill>
        </w:rPr>
        <w:t>一是</w:t>
      </w:r>
      <w:r>
        <w:rPr>
          <w:rFonts w:hint="eastAsia" w:ascii="楷体_GB2312" w:hAnsi="黑体" w:eastAsia="楷体_GB2312"/>
          <w:b/>
          <w:color w:val="000000" w:themeColor="text1"/>
          <w:sz w:val="32"/>
          <w:szCs w:val="32"/>
          <w14:textFill>
            <w14:solidFill>
              <w14:schemeClr w14:val="tx1"/>
            </w14:solidFill>
          </w14:textFill>
        </w:rPr>
        <w:t>必须坚持党的领导、维护核心。</w:t>
      </w:r>
      <w:r>
        <w:rPr>
          <w:rFonts w:hint="eastAsia" w:ascii="仿宋_GB2312" w:hAnsi="黑体" w:eastAsia="仿宋_GB2312"/>
          <w:color w:val="000000" w:themeColor="text1"/>
          <w:sz w:val="32"/>
          <w:szCs w:val="32"/>
          <w14:textFill>
            <w14:solidFill>
              <w14:schemeClr w14:val="tx1"/>
            </w14:solidFill>
          </w14:textFill>
        </w:rPr>
        <w:t>要始终在思想上政治上行动上同以习近平同志为核心的党中央保持高度一致，将维护核心贯穿于商务事业发展的全过程，确保研判形势、谋划发展、推动工作始终沿着正确的政治方向不偏离。</w:t>
      </w:r>
      <w:r>
        <w:rPr>
          <w:rFonts w:hint="eastAsia" w:ascii="楷体_GB2312" w:hAnsi="黑体" w:eastAsia="楷体_GB2312"/>
          <w:b/>
          <w:color w:val="000000" w:themeColor="text1"/>
          <w:sz w:val="32"/>
          <w:szCs w:val="32"/>
          <w14:textFill>
            <w14:solidFill>
              <w14:schemeClr w14:val="tx1"/>
            </w14:solidFill>
          </w14:textFill>
        </w:rPr>
        <w:t>二是必须坚持谋定后动、真抓实干。</w:t>
      </w:r>
      <w:r>
        <w:rPr>
          <w:rFonts w:hint="eastAsia" w:ascii="仿宋_GB2312" w:hAnsi="黑体" w:eastAsia="仿宋_GB2312"/>
          <w:color w:val="000000" w:themeColor="text1"/>
          <w:sz w:val="32"/>
          <w:szCs w:val="32"/>
          <w14:textFill>
            <w14:solidFill>
              <w14:schemeClr w14:val="tx1"/>
            </w14:solidFill>
          </w14:textFill>
        </w:rPr>
        <w:t>我们抓每一项工作，都要紧紧围绕党委政府的中心工作，深入思考谋划，明晰时间表、任务书、路线图，有步骤、分阶段有序有力有效推进各项工作落实。</w:t>
      </w:r>
      <w:r>
        <w:rPr>
          <w:rFonts w:hint="eastAsia" w:ascii="楷体_GB2312" w:hAnsi="黑体" w:eastAsia="楷体_GB2312"/>
          <w:b/>
          <w:color w:val="000000" w:themeColor="text1"/>
          <w:sz w:val="32"/>
          <w:szCs w:val="32"/>
          <w14:textFill>
            <w14:solidFill>
              <w14:schemeClr w14:val="tx1"/>
            </w14:solidFill>
          </w14:textFill>
        </w:rPr>
        <w:t>三是必须坚持解放思想、提高本领。</w:t>
      </w:r>
      <w:r>
        <w:rPr>
          <w:rFonts w:hint="eastAsia" w:ascii="仿宋_GB2312" w:hAnsi="黑体" w:eastAsia="仿宋_GB2312"/>
          <w:color w:val="000000" w:themeColor="text1"/>
          <w:sz w:val="32"/>
          <w:szCs w:val="32"/>
          <w14:textFill>
            <w14:solidFill>
              <w14:schemeClr w14:val="tx1"/>
            </w14:solidFill>
          </w14:textFill>
        </w:rPr>
        <w:t>要深化开放意识，多走出去学习借鉴先进工作经验，与时俱进加强学习党的创新理论和业务知识，不断提升工作本领，以更加开放的思想、国际化的视野、创新的举措推动工作高质量发展。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七、综合评价情况及评价结论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333333"/>
          <w:spacing w:val="0"/>
          <w:sz w:val="32"/>
          <w:szCs w:val="32"/>
        </w:rPr>
      </w:pPr>
      <w:bookmarkStart w:id="1" w:name="_Toc10474925"/>
      <w:bookmarkEnd w:id="1"/>
      <w:bookmarkStart w:id="2" w:name="_Toc11161442"/>
      <w:bookmarkEnd w:id="2"/>
      <w:bookmarkStart w:id="3" w:name="_Toc12397"/>
      <w:bookmarkEnd w:id="3"/>
      <w:bookmarkStart w:id="4" w:name="_Toc16036"/>
      <w:bookmarkEnd w:id="4"/>
      <w:bookmarkStart w:id="5" w:name="_Toc30748"/>
      <w:bookmarkEnd w:id="5"/>
      <w:r>
        <w:rPr>
          <w:rFonts w:hint="eastAsia" w:ascii="仿宋" w:hAnsi="仿宋" w:eastAsia="仿宋" w:cs="仿宋"/>
          <w:i w:val="0"/>
          <w:iCs w:val="0"/>
          <w:caps w:val="0"/>
          <w:color w:val="000000"/>
          <w:spacing w:val="0"/>
          <w:sz w:val="32"/>
          <w:szCs w:val="32"/>
          <w:shd w:val="clear" w:fill="FFFFFF"/>
        </w:rPr>
        <w:t>根据部门整体支出绩效评价指标体系规定的内容，经对各项指标进行评分，本部门</w:t>
      </w:r>
      <w:r>
        <w:rPr>
          <w:rFonts w:hint="eastAsia" w:ascii="仿宋" w:hAnsi="仿宋" w:eastAsia="仿宋" w:cs="仿宋"/>
          <w:i w:val="0"/>
          <w:iCs w:val="0"/>
          <w:caps w:val="0"/>
          <w:color w:val="333333"/>
          <w:spacing w:val="0"/>
          <w:sz w:val="32"/>
          <w:szCs w:val="32"/>
          <w:shd w:val="clear" w:fill="FFFFFF"/>
          <w:lang w:eastAsia="zh-CN"/>
        </w:rPr>
        <w:t>2021年度</w:t>
      </w:r>
      <w:r>
        <w:rPr>
          <w:rFonts w:hint="eastAsia" w:ascii="仿宋" w:hAnsi="仿宋" w:eastAsia="仿宋" w:cs="仿宋"/>
          <w:i w:val="0"/>
          <w:iCs w:val="0"/>
          <w:caps w:val="0"/>
          <w:color w:val="333333"/>
          <w:spacing w:val="0"/>
          <w:sz w:val="32"/>
          <w:szCs w:val="32"/>
          <w:shd w:val="clear" w:fill="FFFFFF"/>
        </w:rPr>
        <w:t>部门整体支出绩效评价得分为</w:t>
      </w:r>
      <w:r>
        <w:rPr>
          <w:rFonts w:hint="eastAsia" w:ascii="仿宋" w:hAnsi="仿宋" w:eastAsia="仿宋" w:cs="仿宋"/>
          <w:i w:val="0"/>
          <w:iCs w:val="0"/>
          <w:caps w:val="0"/>
          <w:color w:val="000000"/>
          <w:spacing w:val="0"/>
          <w:sz w:val="32"/>
          <w:szCs w:val="32"/>
          <w:shd w:val="clear" w:fill="FFFFFF"/>
          <w:lang w:val="en-US" w:eastAsia="zh-CN"/>
        </w:rPr>
        <w:t>96.98</w:t>
      </w:r>
      <w:r>
        <w:rPr>
          <w:rFonts w:hint="eastAsia" w:ascii="仿宋" w:hAnsi="仿宋" w:eastAsia="仿宋" w:cs="仿宋"/>
          <w:i w:val="0"/>
          <w:iCs w:val="0"/>
          <w:caps w:val="0"/>
          <w:color w:val="000000"/>
          <w:spacing w:val="0"/>
          <w:sz w:val="32"/>
          <w:szCs w:val="32"/>
          <w:shd w:val="clear" w:fill="FFFFFF"/>
        </w:rPr>
        <w:t>分</w:t>
      </w:r>
      <w:r>
        <w:rPr>
          <w:rFonts w:hint="eastAsia" w:ascii="仿宋" w:hAnsi="仿宋" w:eastAsia="仿宋" w:cs="仿宋"/>
          <w:i w:val="0"/>
          <w:iCs w:val="0"/>
          <w:caps w:val="0"/>
          <w:color w:val="333333"/>
          <w:spacing w:val="0"/>
          <w:sz w:val="32"/>
          <w:szCs w:val="32"/>
          <w:shd w:val="clear" w:fill="FFFFFF"/>
        </w:rPr>
        <w:t>，评价结果等次为“优”。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八、主要经验做法、存在的问题及原因分析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333333"/>
          <w:spacing w:val="0"/>
          <w:sz w:val="32"/>
          <w:szCs w:val="32"/>
        </w:rPr>
      </w:pPr>
      <w:r>
        <w:rPr>
          <w:rStyle w:val="12"/>
          <w:rFonts w:hint="eastAsia" w:ascii="仿宋" w:hAnsi="仿宋" w:eastAsia="仿宋" w:cs="仿宋"/>
          <w:i w:val="0"/>
          <w:iCs w:val="0"/>
          <w:caps w:val="0"/>
          <w:color w:val="333333"/>
          <w:spacing w:val="0"/>
          <w:sz w:val="32"/>
          <w:szCs w:val="32"/>
          <w:shd w:val="clear" w:fill="FFFFFF"/>
        </w:rPr>
        <w:t>（一）主要经验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1、加强各部门之间的联系，加强预算管理和控制，科学设置绩效自评各项指标值。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年全州商务工作在州委州政府的坚强领导下，在各级各部门的大力支持下，聚焦新目标，担当新作为，把握新形势，抓住新机遇，瞄准新航向，创新举措，真抓实干，成效明显，全州商务工作呈现新气象。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333333"/>
          <w:spacing w:val="0"/>
          <w:sz w:val="32"/>
          <w:szCs w:val="32"/>
        </w:rPr>
      </w:pPr>
      <w:r>
        <w:rPr>
          <w:rStyle w:val="12"/>
          <w:rFonts w:hint="eastAsia" w:ascii="仿宋" w:hAnsi="仿宋" w:eastAsia="仿宋" w:cs="仿宋"/>
          <w:i w:val="0"/>
          <w:iCs w:val="0"/>
          <w:caps w:val="0"/>
          <w:color w:val="333333"/>
          <w:spacing w:val="0"/>
          <w:sz w:val="32"/>
          <w:szCs w:val="32"/>
          <w:shd w:val="clear" w:fill="FFFFFF"/>
        </w:rPr>
        <w:t>（二）存在的问题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1、因落实国家政策和不可抗力因素，年初编制预算与实际需求偏差太大，导致年内预算追加较大（如职工各项奖励），造成调整预算数大于年初预算数。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财务监督职能未能有效发挥。财务的工作限于业务发生后记账、算账、报账，对业务活动的有关事项，未参与到业务的决策和实施过程，与业务环节控制在一定程度上脱节，对单位重要事项的决策、实施过程和结果了解不详，未能对业务部门实施必要的财务控制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3、预算管理过程中，仍存在绩效管理意识不强。主要集中在绩效管理意识薄弱，以及缺乏有效的监督机制。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333333"/>
          <w:spacing w:val="0"/>
          <w:sz w:val="32"/>
          <w:szCs w:val="32"/>
        </w:rPr>
      </w:pPr>
      <w:r>
        <w:rPr>
          <w:rStyle w:val="12"/>
          <w:rFonts w:hint="eastAsia" w:ascii="仿宋" w:hAnsi="仿宋" w:eastAsia="仿宋" w:cs="仿宋"/>
          <w:i w:val="0"/>
          <w:iCs w:val="0"/>
          <w:caps w:val="0"/>
          <w:color w:val="333333"/>
          <w:spacing w:val="0"/>
          <w:sz w:val="32"/>
          <w:szCs w:val="32"/>
          <w:shd w:val="clear" w:fill="FFFFFF"/>
        </w:rPr>
        <w:t>（三）改进措施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1、绩效管理不只是财政支出方面，而应更加注重产出及效率，强化绩效管理责任制度，更好地促进我们履行职责。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预算要结合本单位的事业发展计划、职责和任务测算，下年度确实需要开支的经费，能编进预算的尽量准确地编进预算，以确保部门预算编制真实、准确、完整。州商务局因年初制定的预算与实际需求偏差太大，年中根据实际情况申请追加了大量的预算，影响了预算完成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在抓好财政支出工作的同时，要注重产出及效率，这样才能达到优化资源配置、控制节约成本、提高公共服务水平的目的。要强化绩效管理考核，将绩效考核目标任务层层分解落实，签订目标管理责任状，形成“谁干事谁花钱，谁花钱谁担责”的权责机制，加强日常监管，对重点工作开展专项督查，建立健全绩效问责机制，确保各项绩效目标指标保质保量完成，提高财政资金的使用效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九、有关建议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细化预算编制工作，认真做好预算编制工作，落实落细部门预算。进一步加强各科室预算管理意识，严格按照预算编制的相关制度和要求进行预算编制；全面编制预算项目，优先保障固定性的、相对刚性的费用支出项目，进一步提高预算编制的科学性、严谨性和可控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加强财务管理，严格财务审核。加强单位财务管理，健全单位财务管理制度体系，规范单位财务行为。在费用申报时，按照预算规定的费用项目和用途进行资金使用审核、列报项目支付情况，杜绝超支现象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3、在绩效管理上，只有重视了预算绩效的管理，各部门都强化支出责任，财政资金的使用效率才能得到最大的提升。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4、绩效评价指标设置应与实际相结合，例如预算完成率的评价标准应适当放宽。同时，公用经费控制率要考虑客观原因造成的预算追加数过多，因此导致评分过低的现象。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十、绩效自评结果拟应用和公开情况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仿宋_GB2312" w:cs="仿宋_GB2312"/>
          <w:sz w:val="32"/>
          <w:szCs w:val="32"/>
        </w:rPr>
      </w:pPr>
      <w:r>
        <w:rPr>
          <w:rFonts w:hint="eastAsia" w:eastAsia="仿宋_GB2312" w:cs="仿宋_GB2312"/>
          <w:sz w:val="32"/>
          <w:szCs w:val="32"/>
        </w:rPr>
        <w:t>本次绩效评价完成后，绩效自评结果将在我局门户网站上进行信息公开，接受社会监督。并将以此次自评结果为依据，在今后的工作中，积极推进我州商务工作的开展，进一步促进我州商务事业健康发展。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十一、其他需要说明的问题</w:t>
      </w:r>
    </w:p>
    <w:p>
      <w:pPr>
        <w:keepNext w:val="0"/>
        <w:keepLines w:val="0"/>
        <w:pageBreakBefore w:val="0"/>
        <w:kinsoku/>
        <w:wordWrap/>
        <w:overflowPunct/>
        <w:topLinePunct w:val="0"/>
        <w:autoSpaceDE/>
        <w:autoSpaceDN/>
        <w:bidi w:val="0"/>
        <w:adjustRightInd/>
        <w:snapToGrid/>
        <w:spacing w:line="560" w:lineRule="exact"/>
        <w:ind w:firstLine="1920" w:firstLineChars="600"/>
        <w:rPr>
          <w:rFonts w:hint="eastAsia" w:ascii="方正仿宋_GB18030" w:hAnsi="方正仿宋_GB18030" w:eastAsia="方正仿宋_GB18030" w:cs="方正仿宋_GB18030"/>
          <w:i w:val="0"/>
          <w:iCs w:val="0"/>
          <w:caps w:val="0"/>
          <w:color w:val="333333"/>
          <w:spacing w:val="0"/>
          <w:sz w:val="16"/>
          <w:szCs w:val="16"/>
        </w:rPr>
      </w:pPr>
      <w:r>
        <w:rPr>
          <w:rFonts w:hint="eastAsia" w:eastAsia="仿宋_GB2312" w:cs="仿宋_GB2312"/>
          <w:sz w:val="32"/>
          <w:szCs w:val="32"/>
        </w:rPr>
        <w:t>无</w:t>
      </w:r>
    </w:p>
    <w:p>
      <w:pPr>
        <w:spacing w:line="600" w:lineRule="exact"/>
        <w:ind w:left="1145" w:leftChars="305" w:hanging="505" w:hangingChars="158"/>
        <w:rPr>
          <w:rFonts w:hint="eastAsia" w:ascii="方正仿宋_GB18030" w:hAnsi="方正仿宋_GB18030" w:eastAsia="方正仿宋_GB18030" w:cs="方正仿宋_GB18030"/>
          <w:i w:val="0"/>
          <w:iCs w:val="0"/>
          <w:caps w:val="0"/>
          <w:color w:val="333333"/>
          <w:spacing w:val="0"/>
          <w:sz w:val="32"/>
          <w:szCs w:val="32"/>
          <w:shd w:val="clear" w:fill="FFFFFF"/>
        </w:rPr>
      </w:pPr>
    </w:p>
    <w:p>
      <w:pPr>
        <w:spacing w:line="600" w:lineRule="exact"/>
        <w:ind w:left="1145" w:leftChars="305" w:hanging="505" w:hangingChars="158"/>
        <w:rPr>
          <w:rFonts w:hint="eastAsia" w:ascii="方正仿宋_GB18030" w:hAnsi="方正仿宋_GB18030" w:eastAsia="方正仿宋_GB18030" w:cs="方正仿宋_GB18030"/>
          <w:i w:val="0"/>
          <w:iCs w:val="0"/>
          <w:caps w:val="0"/>
          <w:color w:val="333333"/>
          <w:spacing w:val="0"/>
          <w:sz w:val="32"/>
          <w:szCs w:val="32"/>
          <w:shd w:val="clear" w:fill="FFFFFF"/>
        </w:rPr>
      </w:pPr>
    </w:p>
    <w:p>
      <w:pPr>
        <w:spacing w:line="600" w:lineRule="exact"/>
        <w:ind w:left="1147" w:leftChars="305" w:hanging="507" w:hangingChars="158"/>
        <w:rPr>
          <w:rFonts w:hint="eastAsia" w:ascii="方正仿宋_GB18030" w:hAnsi="方正仿宋_GB18030" w:eastAsia="方正仿宋_GB18030" w:cs="方正仿宋_GB18030"/>
          <w:i w:val="0"/>
          <w:iCs w:val="0"/>
          <w:caps w:val="0"/>
          <w:color w:val="333333"/>
          <w:spacing w:val="0"/>
          <w:sz w:val="32"/>
          <w:szCs w:val="32"/>
          <w:shd w:val="clear" w:fill="FFFFFF"/>
        </w:rPr>
      </w:pPr>
      <w:r>
        <w:rPr>
          <w:rFonts w:hint="eastAsia" w:ascii="方正仿宋_GB18030" w:hAnsi="方正仿宋_GB18030" w:eastAsia="方正仿宋_GB18030" w:cs="方正仿宋_GB18030"/>
          <w:b/>
          <w:bCs/>
          <w:i w:val="0"/>
          <w:iCs w:val="0"/>
          <w:caps w:val="0"/>
          <w:color w:val="333333"/>
          <w:spacing w:val="0"/>
          <w:sz w:val="32"/>
          <w:szCs w:val="32"/>
          <w:shd w:val="clear" w:fill="FFFFFF"/>
        </w:rPr>
        <w:t>附件</w:t>
      </w:r>
      <w:r>
        <w:rPr>
          <w:rFonts w:hint="eastAsia" w:ascii="方正仿宋_GB18030" w:hAnsi="方正仿宋_GB18030" w:eastAsia="方正仿宋_GB18030" w:cs="方正仿宋_GB18030"/>
          <w:i w:val="0"/>
          <w:iCs w:val="0"/>
          <w:caps w:val="0"/>
          <w:color w:val="333333"/>
          <w:spacing w:val="0"/>
          <w:sz w:val="32"/>
          <w:szCs w:val="32"/>
          <w:shd w:val="clear" w:fill="FFFFFF"/>
        </w:rPr>
        <w:t>：</w:t>
      </w:r>
    </w:p>
    <w:p>
      <w:pPr>
        <w:pStyle w:val="2"/>
        <w:rPr>
          <w:rFonts w:hint="eastAsia" w:ascii="方正仿宋_GB18030" w:hAnsi="方正仿宋_GB18030" w:eastAsia="方正仿宋_GB18030" w:cs="方正仿宋_GB18030"/>
          <w:i w:val="0"/>
          <w:iCs w:val="0"/>
          <w:caps w:val="0"/>
          <w:color w:val="333333"/>
          <w:spacing w:val="0"/>
          <w:sz w:val="32"/>
          <w:szCs w:val="32"/>
          <w:shd w:val="clear" w:fill="FFFFFF"/>
        </w:rPr>
      </w:pPr>
    </w:p>
    <w:p>
      <w:pPr>
        <w:pStyle w:val="3"/>
        <w:rPr>
          <w:rFonts w:hint="eastAsia"/>
        </w:rPr>
      </w:pPr>
    </w:p>
    <w:p>
      <w:pPr>
        <w:pStyle w:val="2"/>
        <w:rPr>
          <w:rFonts w:hint="default" w:eastAsia="仿宋_GB2312" w:cs="仿宋_GB2312" w:asciiTheme="minorHAnsi" w:hAnsiTheme="minorHAnsi"/>
          <w:kern w:val="2"/>
          <w:sz w:val="32"/>
          <w:szCs w:val="32"/>
          <w:lang w:val="en-US" w:eastAsia="zh-CN" w:bidi="ar-SA"/>
        </w:rPr>
      </w:pPr>
      <w:r>
        <w:rPr>
          <w:rFonts w:hint="eastAsia"/>
          <w:lang w:val="en-US" w:eastAsia="zh-CN"/>
        </w:rPr>
        <w:t xml:space="preserve">      </w:t>
      </w:r>
    </w:p>
    <w:p>
      <w:pPr>
        <w:spacing w:line="600" w:lineRule="exact"/>
        <w:ind w:firstLine="640" w:firstLineChars="200"/>
        <w:rPr>
          <w:rFonts w:hint="eastAsia" w:eastAsia="仿宋_GB2312" w:cs="仿宋_GB2312"/>
          <w:sz w:val="32"/>
          <w:szCs w:val="32"/>
        </w:rPr>
      </w:pPr>
      <w:r>
        <w:rPr>
          <w:rFonts w:hint="eastAsia" w:eastAsia="仿宋_GB2312" w:cs="仿宋_GB2312"/>
          <w:kern w:val="2"/>
          <w:sz w:val="32"/>
          <w:szCs w:val="32"/>
          <w:lang w:val="en-US" w:eastAsia="zh-CN" w:bidi="ar-SA"/>
        </w:rPr>
        <w:t>1</w:t>
      </w:r>
      <w:r>
        <w:rPr>
          <w:rFonts w:hint="eastAsia" w:eastAsia="仿宋_GB2312" w:cs="仿宋_GB2312" w:asciiTheme="minorHAnsi" w:hAnsiTheme="minorHAnsi"/>
          <w:kern w:val="2"/>
          <w:sz w:val="32"/>
          <w:szCs w:val="32"/>
          <w:lang w:val="en-US" w:eastAsia="zh-CN" w:bidi="ar-SA"/>
        </w:rPr>
        <w:t>、基础</w:t>
      </w:r>
      <w:r>
        <w:rPr>
          <w:rFonts w:hint="eastAsia" w:eastAsia="仿宋_GB2312" w:cs="仿宋_GB2312"/>
          <w:sz w:val="32"/>
          <w:szCs w:val="32"/>
        </w:rPr>
        <w:t>数据表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2</w:t>
      </w:r>
      <w:r>
        <w:rPr>
          <w:rFonts w:hint="eastAsia" w:eastAsia="仿宋_GB2312" w:cs="仿宋_GB2312"/>
          <w:sz w:val="32"/>
          <w:szCs w:val="32"/>
        </w:rPr>
        <w:t>、</w:t>
      </w:r>
      <w:r>
        <w:rPr>
          <w:rFonts w:hint="eastAsia" w:eastAsia="仿宋_GB2312" w:cs="仿宋_GB2312"/>
          <w:sz w:val="32"/>
          <w:szCs w:val="32"/>
          <w:lang w:val="en-US" w:eastAsia="zh-CN"/>
        </w:rPr>
        <w:t>部门</w:t>
      </w:r>
      <w:r>
        <w:rPr>
          <w:rFonts w:hint="eastAsia" w:eastAsia="仿宋_GB2312" w:cs="仿宋_GB2312"/>
          <w:sz w:val="32"/>
          <w:szCs w:val="32"/>
        </w:rPr>
        <w:t>整体支出绩效自评表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3</w:t>
      </w:r>
      <w:r>
        <w:rPr>
          <w:rFonts w:hint="eastAsia" w:eastAsia="仿宋_GB2312" w:cs="仿宋_GB2312"/>
          <w:sz w:val="32"/>
          <w:szCs w:val="32"/>
        </w:rPr>
        <w:t>、项目支出绩效自评表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方正仿宋_GB18030" w:hAnsi="方正仿宋_GB18030" w:eastAsia="方正仿宋_GB18030" w:cs="方正仿宋_GB18030"/>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方正仿宋_GB18030" w:hAnsi="方正仿宋_GB18030" w:eastAsia="方正仿宋_GB18030" w:cs="方正仿宋_GB18030"/>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方正仿宋_GB18030" w:hAnsi="方正仿宋_GB18030" w:eastAsia="方正仿宋_GB18030" w:cs="方正仿宋_GB18030"/>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3200" w:firstLineChars="1000"/>
        <w:jc w:val="both"/>
        <w:textAlignment w:val="center"/>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湘西土家族苗族自治州商务局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2022年6月</w:t>
      </w:r>
      <w:r>
        <w:rPr>
          <w:rFonts w:hint="default" w:eastAsia="仿宋_GB2312" w:cs="仿宋_GB2312"/>
          <w:kern w:val="2"/>
          <w:sz w:val="32"/>
          <w:szCs w:val="32"/>
          <w:lang w:val="en" w:eastAsia="zh-CN" w:bidi="ar-SA"/>
        </w:rPr>
        <w:t>15</w:t>
      </w:r>
      <w:r>
        <w:rPr>
          <w:rFonts w:hint="eastAsia" w:eastAsia="仿宋_GB2312" w:cs="仿宋_GB2312" w:asciiTheme="minorHAnsi" w:hAnsiTheme="minorHAnsi"/>
          <w:kern w:val="2"/>
          <w:sz w:val="32"/>
          <w:szCs w:val="32"/>
          <w:lang w:val="en-US" w:eastAsia="zh-CN" w:bidi="ar-SA"/>
        </w:rPr>
        <w:t>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eastAsia="仿宋_GB2312" w:cs="仿宋_GB2312" w:asciiTheme="minorHAnsi" w:hAnsiTheme="minorHAnsi"/>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center"/>
        <w:rPr>
          <w:rFonts w:hint="default" w:ascii="仿宋_GB2312" w:hAnsi="仿宋_GB2312" w:eastAsia="仿宋_GB2312" w:cs="仿宋_GB2312"/>
          <w:kern w:val="2"/>
          <w:sz w:val="32"/>
          <w:szCs w:val="32"/>
          <w:lang w:val="en-US" w:eastAsia="zh-CN" w:bidi="ar-SA"/>
        </w:rPr>
      </w:pPr>
      <w:bookmarkStart w:id="6" w:name="_GoBack"/>
      <w:bookmarkEnd w:id="6"/>
      <w:r>
        <w:rPr>
          <w:rFonts w:hint="eastAsia" w:ascii="仿宋_GB2312" w:hAnsi="仿宋_GB2312" w:eastAsia="仿宋_GB2312" w:cs="仿宋_GB2312"/>
          <w:kern w:val="2"/>
          <w:sz w:val="32"/>
          <w:szCs w:val="32"/>
          <w:lang w:val="en-US" w:eastAsia="zh-CN" w:bidi="ar-SA"/>
        </w:rPr>
        <w:t>附件1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预算部门整体支出绩效评价基础数据表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（以2021年对2020年度部门整体支出绩效自评为例）</w:t>
      </w:r>
    </w:p>
    <w:tbl>
      <w:tblPr>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94"/>
        <w:gridCol w:w="1045"/>
        <w:gridCol w:w="1044"/>
        <w:gridCol w:w="1041"/>
        <w:gridCol w:w="636"/>
        <w:gridCol w:w="1043"/>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财政供养人员情况</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2021年末编制数</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2021年末实际在职人数</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71</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63</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经费控制情况</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2020年决算数</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2021年预算数</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（万元）</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（万元）</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三公经费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84</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1、公务用车购置和运行维护费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其中：公务用车购置费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公务用车运行维护费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2、因公出国（境）费用</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3、公务接待费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项目支出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740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451</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1、一般公共服务支出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34</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38</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其中：政府办公厅（室）及相关机构事务</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34</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38</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2、发展与改革事务</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其中：其他发展与改革事务支出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3、商贸事务</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502</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173</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其中：一般行政管理事务</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招商引资</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274</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144</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其他商贸事务支出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178</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4、卫生健康支出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126</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其中：突发公共卫生事件应急处理</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5、其他一般公共服务支出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6</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6、商业服务业等支出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178</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114</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其中：其他商业流通事务支出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123</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其中：其他涉外发展服务支出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7、其他支出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15</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bdr w:val="none" w:color="auto" w:sz="0" w:space="0"/>
                <w:lang w:val="en-US" w:eastAsia="zh-CN" w:bidi="ar"/>
              </w:rPr>
              <w:t>公用经费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202.4</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215.4</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其中：办公费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13.2</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手续费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水电费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10.6</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邮电费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0.9</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物业管理费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5.7</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差旅费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11</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维修（护）费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13</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会议费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培训费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1.8</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公务接待费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0.4</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劳务费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0.8</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工会经费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11.4</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福利费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24.2</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公务用车运行维护费</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3.1</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其他交通费用</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45.2</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其他商品和服务支出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61.1</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资本性支出</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政府采购金额</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30</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158.97</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部门基本支出预算调整</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1659</w:t>
            </w:r>
          </w:p>
        </w:tc>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w:t>
            </w:r>
          </w:p>
        </w:tc>
        <w:tc>
          <w:tcPr>
            <w:tcW w:w="2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楼堂馆所控制情况</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批复规模</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实际规模（㎡）</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规模控制率</w:t>
            </w: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预算投资（万元）</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实际投资（万元）</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（2020年完工项目）</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w:t>
            </w: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color w:val="000000"/>
                <w:sz w:val="22"/>
                <w:szCs w:val="22"/>
                <w:u w:val="none"/>
              </w:rPr>
            </w:pP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无　</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厉行节约保障措施</w:t>
            </w:r>
          </w:p>
        </w:tc>
        <w:tc>
          <w:tcPr>
            <w:tcW w:w="583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湘西自治州商务局厉行节约管理制度（节约用水用电、加强公车管理、从严控制各项费用开支）</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说明：项目支出需要填报除基本支出以外的所有项目支出情况，公用经费填报基本支出中的一般商品和服务支出。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textAlignment w:val="center"/>
        <w:rPr>
          <w:rFonts w:hint="eastAsia" w:eastAsia="仿宋_GB2312" w:cs="仿宋_GB2312" w:asciiTheme="minorHAnsi" w:hAnsiTheme="minorHAnsi"/>
          <w:kern w:val="2"/>
          <w:sz w:val="32"/>
          <w:szCs w:val="32"/>
          <w:lang w:val="en-US" w:eastAsia="zh-CN" w:bidi="ar-SA"/>
        </w:rPr>
      </w:pPr>
      <w:r>
        <w:rPr>
          <w:rFonts w:hint="eastAsia" w:ascii="仿宋_GB2312" w:hAnsi="仿宋_GB2312" w:eastAsia="仿宋_GB2312" w:cs="仿宋_GB2312"/>
          <w:kern w:val="2"/>
          <w:sz w:val="18"/>
          <w:szCs w:val="18"/>
          <w:lang w:val="en-US" w:eastAsia="zh-CN" w:bidi="ar-SA"/>
        </w:rPr>
        <w:t>单位负责人签字：杨凌    填表人： 彭艳   联系电话： 8528269   填报日期：2022年6月15日</w:t>
      </w:r>
    </w:p>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textAlignment w:val="center"/>
        <w:rPr>
          <w:rFonts w:hint="eastAsia" w:eastAsia="仿宋_GB2312" w:cs="仿宋_GB2312" w:asciiTheme="minorHAnsi" w:hAnsiTheme="minorHAns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textAlignment w:val="center"/>
        <w:rPr>
          <w:rFonts w:hint="eastAsia" w:eastAsia="仿宋_GB2312" w:cs="仿宋_GB2312"/>
          <w:kern w:val="2"/>
          <w:sz w:val="32"/>
          <w:szCs w:val="32"/>
          <w:lang w:val="en-US" w:eastAsia="zh-CN" w:bidi="ar-SA"/>
        </w:rPr>
        <w:sectPr>
          <w:pgSz w:w="11906" w:h="16838"/>
          <w:pgMar w:top="1440" w:right="1803" w:bottom="1440" w:left="1803" w:header="851" w:footer="992" w:gutter="0"/>
          <w:paperSrc/>
          <w:cols w:space="0" w:num="1"/>
          <w:rtlGutter w:val="0"/>
          <w:docGrid w:type="lines" w:linePitch="319"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附件2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州级预算部门整体支出绩效自评表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3200" w:firstLineChars="1000"/>
        <w:jc w:val="left"/>
        <w:textAlignment w:val="center"/>
        <w:rPr>
          <w:rFonts w:hint="default" w:eastAsia="仿宋_GB2312" w:cs="仿宋_GB2312"/>
          <w:kern w:val="2"/>
          <w:sz w:val="32"/>
          <w:szCs w:val="32"/>
          <w:lang w:val="en-US" w:eastAsia="zh-CN" w:bidi="ar-SA"/>
        </w:rPr>
      </w:pPr>
      <w:r>
        <w:rPr>
          <w:rFonts w:hint="default" w:eastAsia="仿宋_GB2312" w:cs="仿宋_GB2312"/>
          <w:kern w:val="2"/>
          <w:sz w:val="32"/>
          <w:szCs w:val="32"/>
          <w:lang w:val="en-US" w:eastAsia="zh-CN" w:bidi="ar-SA"/>
        </w:rPr>
        <w:t>（2021年度）</w:t>
      </w:r>
    </w:p>
    <w:tbl>
      <w:tblPr>
        <w:tblW w:w="8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7"/>
        <w:gridCol w:w="882"/>
        <w:gridCol w:w="917"/>
        <w:gridCol w:w="797"/>
        <w:gridCol w:w="470"/>
        <w:gridCol w:w="657"/>
        <w:gridCol w:w="770"/>
        <w:gridCol w:w="882"/>
        <w:gridCol w:w="874"/>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州级预算部门名称</w:t>
            </w:r>
          </w:p>
        </w:tc>
        <w:tc>
          <w:tcPr>
            <w:tcW w:w="8062"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湘西土家族苗族自治州商务局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年度预算申请（万元）</w:t>
            </w:r>
          </w:p>
        </w:tc>
        <w:tc>
          <w:tcPr>
            <w:tcW w:w="179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年初</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w:t>
            </w:r>
          </w:p>
        </w:tc>
        <w:tc>
          <w:tcPr>
            <w:tcW w:w="8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分值</w:t>
            </w:r>
          </w:p>
        </w:tc>
        <w:tc>
          <w:tcPr>
            <w:tcW w:w="8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执行率</w:t>
            </w:r>
          </w:p>
        </w:tc>
        <w:tc>
          <w:tcPr>
            <w:tcW w:w="18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预算数</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预算数</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执行数</w:t>
            </w: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年度资金总额</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1102</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2173</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2173</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按收入性质分：</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1102</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2173</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2173</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一般公共预算</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1102</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2001</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2001</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政府性基金拨款</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纳入专户管理的非税收入拨款</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92</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92</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其他资金</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80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80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按支出性质分：</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1102</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2957</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2957</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基本支出</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1034</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1865</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1865</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项目支出</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68</w:t>
            </w:r>
          </w:p>
        </w:tc>
        <w:tc>
          <w:tcPr>
            <w:tcW w:w="11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1092</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1092</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8" w:hRule="atLeast"/>
        </w:trPr>
        <w:tc>
          <w:tcPr>
            <w:tcW w:w="67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年度总体目标</w:t>
            </w:r>
          </w:p>
        </w:tc>
        <w:tc>
          <w:tcPr>
            <w:tcW w:w="372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预期目标</w:t>
            </w:r>
          </w:p>
        </w:tc>
        <w:tc>
          <w:tcPr>
            <w:tcW w:w="4339" w:type="dxa"/>
            <w:gridSpan w:val="4"/>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0" w:hRule="atLeast"/>
        </w:trPr>
        <w:tc>
          <w:tcPr>
            <w:tcW w:w="677"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372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1、我州招商引资及优化结构（吸引粤港澳大湾区、长三角、京津冀、成渝地区等发达经济圈）方面；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2、我州外贸进出口方面；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3、重大项目建设方面（全国电子商务进农村综合示范项目建设、电子商务交易额突破亿元大关及实施乡村振兴农村电商示范站点标准化升级改造方面）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4、创品夺牌方面；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5、推进招大引强引外方面；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6、三是重大经贸活动方面；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7、党的建设持续深入推进方面。</w:t>
            </w:r>
          </w:p>
        </w:tc>
        <w:tc>
          <w:tcPr>
            <w:tcW w:w="4339" w:type="dxa"/>
            <w:gridSpan w:val="4"/>
            <w:tcBorders>
              <w:top w:val="single" w:color="000000" w:sz="4" w:space="0"/>
              <w:left w:val="nil"/>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1、1-12月, 全州引进省外境内资金180.9亿元，同比增长34.7%，完成省定年度任务(150亿元)的120.6%，利用外资305万美元，排名全省第一；吸引粤港澳大湾区、长三角、京津冀、成渝地区等发达经济圈来州投资项目118个、到位资金115.4亿元。1-11月，湘西高新区等9个产业园区招商到位资金90.7亿元，占全州招商引资总量的58.5%。</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2、外贸进出口总额16.84亿元，同比增长50.8%，增幅排全省第一。</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3、全年引进“三类500强”企业新投资项目13个，同比增长200%，项目个数创历史之最。加快“五好”园区建设招商，全州产业园区省外境内到位资金90.7亿元，占全州省外境内到位资金总量的58.5%。加快商贸物流产业建设，36个重点项目实现投资60.99亿元，完成年度计划投资56.2亿元的105.8%，吉首市经开区冷链物流仓储区建设项目（八大仓库）等一批商贸物流项目建成运营。加快建设全国电子商务进农村综合示范项目建设，9个县级电商运营分拣中心基本建成，面积1.31万平方米。在全省率先实施40个乡村振兴农村电商示范站点标准化升级改造。</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4、扎实开展“味道湖南</w:t>
            </w:r>
            <w:r>
              <w:rPr>
                <w:rFonts w:hint="default" w:ascii="Times New Roman" w:hAnsi="Times New Roman" w:eastAsia="仿宋" w:cs="Times New Roman"/>
                <w:i w:val="0"/>
                <w:color w:val="000000"/>
                <w:kern w:val="0"/>
                <w:sz w:val="18"/>
                <w:szCs w:val="18"/>
                <w:u w:val="none"/>
                <w:bdr w:val="none" w:color="auto" w:sz="0" w:space="0"/>
                <w:lang w:val="en-US" w:eastAsia="zh-CN" w:bidi="ar"/>
              </w:rPr>
              <w:t>•</w:t>
            </w:r>
            <w:r>
              <w:rPr>
                <w:rFonts w:hint="eastAsia" w:ascii="仿宋" w:hAnsi="仿宋" w:eastAsia="仿宋" w:cs="仿宋"/>
                <w:i w:val="0"/>
                <w:color w:val="000000"/>
                <w:kern w:val="0"/>
                <w:sz w:val="18"/>
                <w:szCs w:val="18"/>
                <w:u w:val="none"/>
                <w:bdr w:val="none" w:color="auto" w:sz="0" w:space="0"/>
                <w:lang w:val="en-US" w:eastAsia="zh-CN" w:bidi="ar"/>
              </w:rPr>
              <w:t>湘西味道”评选活动，我州“牛头宴”荣获湖南省金牌菜，“乾州鸭”“苗家酸肉”“花垣性肠”“凤凰血粑鸭”荣获银牌菜。大力举办湘西州直播带货暨短视频大赛，我州选手荣获全省网络直播带货优胜奖1个、最佳创作短视频奖2个。加强商业特色街道打造，吉首财信</w:t>
            </w:r>
            <w:r>
              <w:rPr>
                <w:rFonts w:hint="default" w:ascii="Times New Roman" w:hAnsi="Times New Roman" w:eastAsia="仿宋" w:cs="Times New Roman"/>
                <w:i w:val="0"/>
                <w:color w:val="000000"/>
                <w:kern w:val="0"/>
                <w:sz w:val="18"/>
                <w:szCs w:val="18"/>
                <w:u w:val="none"/>
                <w:bdr w:val="none" w:color="auto" w:sz="0" w:space="0"/>
                <w:lang w:val="en-US" w:eastAsia="zh-CN" w:bidi="ar"/>
              </w:rPr>
              <w:t>•</w:t>
            </w:r>
            <w:r>
              <w:rPr>
                <w:rFonts w:hint="eastAsia" w:ascii="仿宋" w:hAnsi="仿宋" w:eastAsia="仿宋" w:cs="仿宋"/>
                <w:i w:val="0"/>
                <w:color w:val="000000"/>
                <w:kern w:val="0"/>
                <w:sz w:val="18"/>
                <w:szCs w:val="18"/>
                <w:u w:val="none"/>
                <w:bdr w:val="none" w:color="auto" w:sz="0" w:space="0"/>
                <w:lang w:val="en-US" w:eastAsia="zh-CN" w:bidi="ar"/>
              </w:rPr>
              <w:t>商业街入选全省综合型试点，特色化、品牌化、规模化消费加快发展。</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5、建立商务、市场监管、外汇等部门联席会议制度，统筹做好引进“三类500强”、引进内资过10亿元（或外资1亿美元）重大项目、引进外国直接投资、引进外贸实体企业等工作。</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6、创新务实开展招商引资活动，先后举办湘西州（长沙）农业和商贸物流招商推介会、湘西州（深圳）优势产业专题招商推介会、“乘坐最美高铁 投资神秘湘西”云招商等一系列活动，新签约引进项目77个，合同引资424亿元，刷新年度新签项目个数的历史记录。</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7、坚持党对商务工作的全面领导，将习近平总书记最新重要讲话精神和中央省州重大决策部署纳入党组会第一议题，深入开展党史学习教育，高标准推进“三表率一模范”机关建设，表彰优秀党支部2个、优秀党务工作者7人、优秀共产党员11人，颁发“光荣在党50年”纪念章28枚。州商务局离退休干部党支部被评为全州“五好”离退休干部党支部。州直学习贯彻党的十九届六中全会精神专题培训现场交流会在州商务局召开，“赓续红色基因 彰显商务担当”党建品牌建设和党建文化建设获得好评。统筹抓好老干、工青妇等工作。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9"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绩</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效</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指</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标</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一级指标</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二级指标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三级指标</w:t>
            </w:r>
          </w:p>
        </w:tc>
        <w:tc>
          <w:tcPr>
            <w:tcW w:w="657"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bdr w:val="none" w:color="auto" w:sz="0" w:space="0"/>
                <w:lang w:val="en-US" w:eastAsia="zh-CN" w:bidi="ar"/>
              </w:rPr>
              <w:t>年度指标值</w:t>
            </w:r>
          </w:p>
        </w:tc>
        <w:tc>
          <w:tcPr>
            <w:tcW w:w="77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实际完成值</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分值</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得分</w:t>
            </w:r>
          </w:p>
        </w:tc>
        <w:tc>
          <w:tcPr>
            <w:tcW w:w="1813"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产出指标（50分）</w:t>
            </w:r>
          </w:p>
        </w:tc>
        <w:tc>
          <w:tcPr>
            <w:tcW w:w="9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数量指标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引进“三类500强”企业（个）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限额以上商贸流通企业培育入规（家）</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2"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乡村振兴农村电商示范站点标准化升级改造（个）</w:t>
            </w:r>
          </w:p>
        </w:tc>
        <w:tc>
          <w:tcPr>
            <w:tcW w:w="657" w:type="dxa"/>
            <w:tcBorders>
              <w:top w:val="nil"/>
              <w:left w:val="nil"/>
              <w:bottom w:val="single" w:color="00000A" w:sz="8" w:space="0"/>
              <w:right w:val="single" w:color="00000A"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40</w:t>
            </w:r>
          </w:p>
        </w:tc>
        <w:tc>
          <w:tcPr>
            <w:tcW w:w="770" w:type="dxa"/>
            <w:tcBorders>
              <w:top w:val="nil"/>
              <w:left w:val="nil"/>
              <w:bottom w:val="single" w:color="00000A" w:sz="8" w:space="0"/>
              <w:right w:val="single" w:color="00000A"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质量指标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项目质量合格率（%）</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时效指标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项目按时完成率（%）</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成本指标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在职人员控制率（%）</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94</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“三公经费”控制率（%）</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83.37</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46"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固定资产利用率</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99.46</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2.98</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　根据中华人民共和国国务院令《行政事业性国有资产管理条例》（ 第738号）文件要求将对报废的固定资产进行清理。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3"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效益指标（30）</w:t>
            </w:r>
          </w:p>
        </w:tc>
        <w:tc>
          <w:tcPr>
            <w:tcW w:w="917"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经济效益指标</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全年招商引资引进省外境内资金（亿元）</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123</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180.9</w:t>
            </w:r>
          </w:p>
        </w:tc>
        <w:tc>
          <w:tcPr>
            <w:tcW w:w="8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8"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商贸物流产业建设项目计划投资额（亿元）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56.2</w:t>
            </w:r>
          </w:p>
        </w:tc>
        <w:tc>
          <w:tcPr>
            <w:tcW w:w="77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60.99</w:t>
            </w:r>
          </w:p>
        </w:tc>
        <w:tc>
          <w:tcPr>
            <w:tcW w:w="8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5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完成进出口总额（亿人民币）</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11.4</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16.84</w:t>
            </w:r>
          </w:p>
        </w:tc>
        <w:tc>
          <w:tcPr>
            <w:tcW w:w="8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社会效益指标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高质量、有特色地拍摄制作“两片一指南”</w:t>
            </w:r>
          </w:p>
        </w:tc>
        <w:tc>
          <w:tcPr>
            <w:tcW w:w="14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湘西自治州招商引资宣传片、湘西自治州名优特新产品宣传片、湘西自治州投资指南，提升“神秘湘西”知名度、美誉度</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5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269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我州商务系统第一次荣获湖南省人民政府真抓实干督查激励表彰</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6"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全国电子商务进农村综合示范项目建设</w:t>
            </w:r>
          </w:p>
        </w:tc>
        <w:tc>
          <w:tcPr>
            <w:tcW w:w="14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我州成为实施全国电子商务进农村综合示范项目建设第一个全覆盖的少数民族自治州</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2"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组织举办全州产业园区招商推介会</w:t>
            </w:r>
          </w:p>
        </w:tc>
        <w:tc>
          <w:tcPr>
            <w:tcW w:w="14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全年引进40个以上产业项目落户园区，实现园区招商引资总量在全州占比达到60%。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 xml:space="preserve">是否带动就业增长 </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可持续影响指标</w:t>
            </w: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是否可长年推动经济发展</w:t>
            </w:r>
          </w:p>
        </w:tc>
        <w:tc>
          <w:tcPr>
            <w:tcW w:w="657"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770"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通过展会、博览会、推介会等带动经济增长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是否拉动市场消费</w:t>
            </w:r>
          </w:p>
        </w:tc>
        <w:tc>
          <w:tcPr>
            <w:tcW w:w="657"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770"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通过一系列促消费活动，拉动我州市场消费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满意度指标（10分）</w:t>
            </w:r>
          </w:p>
        </w:tc>
        <w:tc>
          <w:tcPr>
            <w:tcW w:w="9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服务对象满意度指标</w:t>
            </w:r>
          </w:p>
        </w:tc>
        <w:tc>
          <w:tcPr>
            <w:tcW w:w="1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社会公众满意度</w:t>
            </w:r>
          </w:p>
        </w:tc>
        <w:tc>
          <w:tcPr>
            <w:tcW w:w="65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95%以上</w:t>
            </w:r>
          </w:p>
        </w:tc>
        <w:tc>
          <w:tcPr>
            <w:tcW w:w="7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96%</w:t>
            </w:r>
          </w:p>
        </w:tc>
        <w:tc>
          <w:tcPr>
            <w:tcW w:w="8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8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8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服务对象满意度</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95%以上</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96%</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517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总分</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96.98</w:t>
            </w:r>
          </w:p>
        </w:tc>
        <w:tc>
          <w:tcPr>
            <w:tcW w:w="1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 w:hAnsi="仿宋" w:eastAsia="仿宋" w:cs="仿宋"/>
                <w:i w:val="0"/>
                <w:color w:val="000000"/>
                <w:sz w:val="18"/>
                <w:szCs w:val="18"/>
                <w:u w:val="none"/>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16"/>
          <w:szCs w:val="16"/>
        </w:rPr>
        <w:t>单位负责人签字： 杨凌          填表人： 彭艳     联系电话： 8528269      填报日期：2022年   6月15日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b/>
          <w:bCs/>
          <w:i w:val="0"/>
          <w:iCs w:val="0"/>
          <w:caps w:val="0"/>
          <w:color w:val="333333"/>
          <w:spacing w:val="0"/>
          <w:sz w:val="16"/>
          <w:szCs w:val="16"/>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eastAsia" w:ascii="仿宋_GB2312" w:hAnsi="仿宋_GB2312"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州级预算部门项目支出绩效自评表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（2021年度）</w:t>
      </w:r>
    </w:p>
    <w:tbl>
      <w:tblPr>
        <w:tblStyle w:val="10"/>
        <w:tblW w:w="92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0"/>
        <w:gridCol w:w="880"/>
        <w:gridCol w:w="882"/>
        <w:gridCol w:w="881"/>
        <w:gridCol w:w="884"/>
        <w:gridCol w:w="1220"/>
        <w:gridCol w:w="881"/>
        <w:gridCol w:w="881"/>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color w:val="000000"/>
                <w:sz w:val="18"/>
                <w:szCs w:val="18"/>
                <w:u w:val="none"/>
              </w:rPr>
            </w:pPr>
            <w:r>
              <w:rPr>
                <w:rStyle w:val="16"/>
                <w:rFonts w:hAnsi="宋体"/>
                <w:lang w:val="en-US" w:eastAsia="zh-CN" w:bidi="ar"/>
              </w:rPr>
              <w:t>项目</w:t>
            </w:r>
            <w:r>
              <w:rPr>
                <w:rStyle w:val="17"/>
                <w:lang w:val="en-US" w:eastAsia="zh-CN" w:bidi="ar"/>
              </w:rPr>
              <w:t>支出</w:t>
            </w:r>
            <w:r>
              <w:rPr>
                <w:rStyle w:val="16"/>
                <w:rFonts w:hAnsi="宋体"/>
                <w:lang w:val="en-US" w:eastAsia="zh-CN" w:bidi="ar"/>
              </w:rPr>
              <w:br w:type="textWrapping"/>
            </w:r>
            <w:r>
              <w:rPr>
                <w:rStyle w:val="17"/>
                <w:lang w:val="en-US" w:eastAsia="zh-CN" w:bidi="ar"/>
              </w:rPr>
              <w:t>名称</w:t>
            </w:r>
          </w:p>
        </w:tc>
        <w:tc>
          <w:tcPr>
            <w:tcW w:w="837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开放型经济专项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379"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主管部</w:t>
            </w:r>
            <w:r>
              <w:rPr>
                <w:rStyle w:val="17"/>
                <w:lang w:val="en-US" w:eastAsia="zh-CN" w:bidi="ar"/>
              </w:rPr>
              <w:t>门</w:t>
            </w: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州商务局</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实施单</w:t>
            </w:r>
            <w:r>
              <w:rPr>
                <w:rStyle w:val="19"/>
                <w:lang w:val="en-US" w:eastAsia="zh-CN" w:bidi="ar"/>
              </w:rPr>
              <w:t>位</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州商务局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项目资金（万元）</w:t>
            </w:r>
          </w:p>
        </w:tc>
        <w:tc>
          <w:tcPr>
            <w:tcW w:w="17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年</w:t>
            </w:r>
            <w:r>
              <w:rPr>
                <w:rStyle w:val="19"/>
                <w:lang w:val="en-US" w:eastAsia="zh-CN" w:bidi="ar"/>
              </w:rPr>
              <w:t>初</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全</w:t>
            </w:r>
            <w:r>
              <w:rPr>
                <w:rStyle w:val="19"/>
                <w:lang w:val="en-US" w:eastAsia="zh-CN" w:bidi="ar"/>
              </w:rPr>
              <w:t>年</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0"/>
                <w:rFonts w:hAnsi="宋体"/>
                <w:lang w:val="en-US" w:eastAsia="zh-CN" w:bidi="ar"/>
              </w:rPr>
              <w:t>全</w:t>
            </w:r>
            <w:r>
              <w:rPr>
                <w:rStyle w:val="21"/>
                <w:lang w:val="en-US" w:eastAsia="zh-CN" w:bidi="ar"/>
              </w:rPr>
              <w:t>年</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0"/>
                <w:rFonts w:hAnsi="宋体"/>
                <w:lang w:val="en-US" w:eastAsia="zh-CN" w:bidi="ar"/>
              </w:rPr>
              <w:t>分</w:t>
            </w:r>
            <w:r>
              <w:rPr>
                <w:rStyle w:val="21"/>
                <w:lang w:val="en-US" w:eastAsia="zh-CN" w:bidi="ar"/>
              </w:rPr>
              <w:t>值</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0"/>
                <w:rFonts w:hAnsi="宋体"/>
                <w:lang w:val="en-US" w:eastAsia="zh-CN" w:bidi="ar"/>
              </w:rPr>
              <w:t>执行</w:t>
            </w:r>
            <w:r>
              <w:rPr>
                <w:rStyle w:val="21"/>
                <w:lang w:val="en-US" w:eastAsia="zh-CN" w:bidi="ar"/>
              </w:rPr>
              <w:t>率</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0"/>
                <w:rFonts w:hAnsi="宋体"/>
                <w:lang w:val="en-US" w:eastAsia="zh-CN" w:bidi="ar"/>
              </w:rPr>
              <w:t>得</w:t>
            </w:r>
            <w:r>
              <w:rPr>
                <w:rStyle w:val="21"/>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7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预算</w:t>
            </w:r>
            <w:r>
              <w:rPr>
                <w:rStyle w:val="19"/>
                <w:lang w:val="en-US" w:eastAsia="zh-CN" w:bidi="ar"/>
              </w:rPr>
              <w:t>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预算</w:t>
            </w:r>
            <w:r>
              <w:rPr>
                <w:rStyle w:val="19"/>
                <w:lang w:val="en-US" w:eastAsia="zh-CN" w:bidi="ar"/>
              </w:rPr>
              <w:t>数</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0"/>
                <w:rFonts w:hAnsi="宋体"/>
                <w:lang w:val="en-US" w:eastAsia="zh-CN" w:bidi="ar"/>
              </w:rPr>
              <w:t>执行</w:t>
            </w:r>
            <w:r>
              <w:rPr>
                <w:rStyle w:val="21"/>
                <w:lang w:val="en-US" w:eastAsia="zh-CN" w:bidi="ar"/>
              </w:rPr>
              <w:t>数</w:t>
            </w: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年度资金总额</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53.55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143.55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143.55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其中：当年财政拨款</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53.55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143.55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143.55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上年结转资金</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其他资</w:t>
            </w:r>
            <w:r>
              <w:rPr>
                <w:rStyle w:val="19"/>
                <w:lang w:val="en-US" w:eastAsia="zh-CN" w:bidi="ar"/>
              </w:rPr>
              <w:t>金</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0"/>
                <w:szCs w:val="20"/>
                <w:u w:val="none"/>
              </w:rPr>
            </w:pPr>
            <w:r>
              <w:rPr>
                <w:rStyle w:val="22"/>
                <w:rFonts w:hAnsi="宋体"/>
                <w:lang w:val="en-US" w:eastAsia="zh-CN" w:bidi="ar"/>
              </w:rPr>
              <w:t>年度总体目</w:t>
            </w:r>
            <w:r>
              <w:rPr>
                <w:rStyle w:val="23"/>
                <w:lang w:val="en-US" w:eastAsia="zh-CN" w:bidi="ar"/>
              </w:rPr>
              <w:t>标</w:t>
            </w: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i w:val="0"/>
                <w:color w:val="000000"/>
                <w:sz w:val="16"/>
                <w:szCs w:val="16"/>
                <w:u w:val="none"/>
              </w:rPr>
            </w:pPr>
            <w:r>
              <w:rPr>
                <w:rStyle w:val="24"/>
                <w:rFonts w:hAnsi="宋体"/>
                <w:lang w:val="en-US" w:eastAsia="zh-CN" w:bidi="ar"/>
              </w:rPr>
              <w:t>预期目</w:t>
            </w:r>
            <w:r>
              <w:rPr>
                <w:rStyle w:val="25"/>
                <w:lang w:val="en-US" w:eastAsia="zh-CN" w:bidi="ar"/>
              </w:rPr>
              <w:t>标</w:t>
            </w:r>
          </w:p>
        </w:tc>
        <w:tc>
          <w:tcPr>
            <w:tcW w:w="4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i w:val="0"/>
                <w:color w:val="000000"/>
                <w:sz w:val="16"/>
                <w:szCs w:val="16"/>
                <w:u w:val="none"/>
              </w:rPr>
            </w:pPr>
            <w:r>
              <w:rPr>
                <w:rFonts w:hint="eastAsia" w:ascii="仿宋_GB2312" w:hAnsi="宋体" w:eastAsia="仿宋_GB2312" w:cs="仿宋_GB2312"/>
                <w:b/>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目标1：1、全年招商引资引进省外境内资金123亿人民币，实际利用外资增长20%以上</w:t>
            </w:r>
          </w:p>
        </w:tc>
        <w:tc>
          <w:tcPr>
            <w:tcW w:w="4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1、全州引进省外境内资金180.9亿元，同比增长34.7%，完成省定年度任务(150亿元)的120.6%，利用外资同比增长46.63%；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目标2：完成进出口总额11.4亿人民币。</w:t>
            </w:r>
          </w:p>
        </w:tc>
        <w:tc>
          <w:tcPr>
            <w:tcW w:w="4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2、全年外贸进出口总额16.84亿元，同比增长50.8%，增幅排全省第一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目标3：引进“三类500强”企业4个</w:t>
            </w:r>
          </w:p>
        </w:tc>
        <w:tc>
          <w:tcPr>
            <w:tcW w:w="4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3、全年引进“三类500强”企业新投资项目13个，同比增长200%，项目个数创历史之最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一级指</w:t>
            </w:r>
            <w:r>
              <w:rPr>
                <w:rStyle w:val="17"/>
                <w:lang w:val="en-US" w:eastAsia="zh-CN" w:bidi="ar"/>
              </w:rPr>
              <w:t>标</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二级指</w:t>
            </w:r>
            <w:r>
              <w:rPr>
                <w:rStyle w:val="17"/>
                <w:lang w:val="en-US" w:eastAsia="zh-CN" w:bidi="ar"/>
              </w:rPr>
              <w:t>标</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三级指</w:t>
            </w:r>
            <w:r>
              <w:rPr>
                <w:rStyle w:val="17"/>
                <w:lang w:val="en-US" w:eastAsia="zh-CN" w:bidi="ar"/>
              </w:rPr>
              <w:t>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年</w:t>
            </w:r>
            <w:r>
              <w:rPr>
                <w:rStyle w:val="17"/>
                <w:lang w:val="en-US" w:eastAsia="zh-CN" w:bidi="ar"/>
              </w:rPr>
              <w:t>度指标值</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实</w:t>
            </w:r>
            <w:r>
              <w:rPr>
                <w:rStyle w:val="17"/>
                <w:lang w:val="en-US" w:eastAsia="zh-CN" w:bidi="ar"/>
              </w:rPr>
              <w:t>际完成值</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分</w:t>
            </w:r>
            <w:r>
              <w:rPr>
                <w:rStyle w:val="17"/>
                <w:lang w:val="en-US" w:eastAsia="zh-CN" w:bidi="ar"/>
              </w:rPr>
              <w:t>值</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得</w:t>
            </w:r>
            <w:r>
              <w:rPr>
                <w:rStyle w:val="17"/>
                <w:lang w:val="en-US" w:eastAsia="zh-CN" w:bidi="ar"/>
              </w:rPr>
              <w:t>分</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Style w:val="16"/>
                <w:rFonts w:hAnsi="宋体"/>
                <w:lang w:val="en-US" w:eastAsia="zh-CN" w:bidi="ar"/>
              </w:rPr>
              <w:t>偏差原</w:t>
            </w:r>
            <w:r>
              <w:rPr>
                <w:rStyle w:val="17"/>
                <w:lang w:val="en-US" w:eastAsia="zh-CN" w:bidi="ar"/>
              </w:rPr>
              <w:t>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0"/>
                <w:szCs w:val="20"/>
                <w:u w:val="none"/>
              </w:rPr>
            </w:pPr>
            <w:r>
              <w:rPr>
                <w:rStyle w:val="22"/>
                <w:rFonts w:hAnsi="宋体"/>
                <w:lang w:val="en-US" w:eastAsia="zh-CN" w:bidi="ar"/>
              </w:rPr>
              <w:t>产出指</w:t>
            </w:r>
            <w:r>
              <w:rPr>
                <w:rStyle w:val="23"/>
                <w:lang w:val="en-US" w:eastAsia="zh-CN" w:bidi="ar"/>
              </w:rPr>
              <w:t>标</w:t>
            </w:r>
            <w:r>
              <w:rPr>
                <w:rStyle w:val="22"/>
                <w:rFonts w:hAnsi="宋体"/>
                <w:lang w:val="en-US" w:eastAsia="zh-CN" w:bidi="ar"/>
              </w:rPr>
              <w:t>(50分)</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数量指</w:t>
            </w:r>
            <w:r>
              <w:rPr>
                <w:rStyle w:val="19"/>
                <w:lang w:val="en-US" w:eastAsia="zh-CN" w:bidi="ar"/>
              </w:rPr>
              <w:t>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引进省外境内资金（亿元）</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123</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宋体" w:eastAsia="仿宋_GB2312" w:cs="仿宋_GB2312"/>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6"/>
                <w:rFonts w:hAnsi="宋体"/>
                <w:lang w:val="en-US" w:eastAsia="zh-CN" w:bidi="ar"/>
              </w:rPr>
              <w:t>引进</w:t>
            </w:r>
            <w:r>
              <w:rPr>
                <w:rStyle w:val="27"/>
                <w:lang w:val="en-US" w:eastAsia="zh-CN" w:bidi="ar"/>
              </w:rPr>
              <w:t>“</w:t>
            </w:r>
            <w:r>
              <w:rPr>
                <w:rStyle w:val="26"/>
                <w:rFonts w:hAnsi="宋体"/>
                <w:lang w:val="en-US" w:eastAsia="zh-CN" w:bidi="ar"/>
              </w:rPr>
              <w:t>三类</w:t>
            </w:r>
            <w:r>
              <w:rPr>
                <w:rStyle w:val="27"/>
                <w:lang w:val="en-US" w:eastAsia="zh-CN" w:bidi="ar"/>
              </w:rPr>
              <w:t>500</w:t>
            </w:r>
            <w:r>
              <w:rPr>
                <w:rStyle w:val="26"/>
                <w:rFonts w:hAnsi="宋体"/>
                <w:lang w:val="en-US" w:eastAsia="zh-CN" w:bidi="ar"/>
              </w:rPr>
              <w:t>强</w:t>
            </w:r>
            <w:r>
              <w:rPr>
                <w:rStyle w:val="27"/>
                <w:lang w:val="en-US" w:eastAsia="zh-CN" w:bidi="ar"/>
              </w:rPr>
              <w:t>”</w:t>
            </w:r>
            <w:r>
              <w:rPr>
                <w:rStyle w:val="26"/>
                <w:rFonts w:hAnsi="宋体"/>
                <w:lang w:val="en-US" w:eastAsia="zh-CN" w:bidi="ar"/>
              </w:rPr>
              <w:t>企业（个）</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宋体" w:eastAsia="仿宋_GB2312" w:cs="仿宋_GB2312"/>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外贸进出口额（亿元）</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11.4</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质量指</w:t>
            </w:r>
            <w:r>
              <w:rPr>
                <w:rStyle w:val="19"/>
                <w:lang w:val="en-US" w:eastAsia="zh-CN" w:bidi="ar"/>
              </w:rPr>
              <w:t>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实际利用外资增长率（%）</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　20</w:t>
            </w:r>
            <w:r>
              <w:rPr>
                <w:rStyle w:val="20"/>
                <w:rFonts w:hAnsi="宋体"/>
                <w:lang w:val="en-US" w:eastAsia="zh-CN" w:bidi="ar"/>
              </w:rPr>
              <w:t>以上</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46.63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时效指</w:t>
            </w:r>
            <w:r>
              <w:rPr>
                <w:rStyle w:val="19"/>
                <w:lang w:val="en-US" w:eastAsia="zh-CN" w:bidi="ar"/>
              </w:rPr>
              <w:t>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项目质量合格率（%）</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成本指</w:t>
            </w:r>
            <w:r>
              <w:rPr>
                <w:rStyle w:val="19"/>
                <w:lang w:val="en-US" w:eastAsia="zh-CN" w:bidi="ar"/>
              </w:rPr>
              <w:t>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项目按时完成率（%）</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0"/>
                <w:szCs w:val="20"/>
                <w:u w:val="none"/>
              </w:rPr>
            </w:pPr>
            <w:r>
              <w:rPr>
                <w:rStyle w:val="22"/>
                <w:rFonts w:hAnsi="宋体"/>
                <w:lang w:val="en-US" w:eastAsia="zh-CN" w:bidi="ar"/>
              </w:rPr>
              <w:t>效益指</w:t>
            </w:r>
            <w:r>
              <w:rPr>
                <w:rStyle w:val="23"/>
                <w:lang w:val="en-US" w:eastAsia="zh-CN" w:bidi="ar"/>
              </w:rPr>
              <w:t>标（30分）</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经济</w:t>
            </w:r>
            <w:r>
              <w:rPr>
                <w:rStyle w:val="19"/>
                <w:lang w:val="en-US" w:eastAsia="zh-CN" w:bidi="ar"/>
              </w:rPr>
              <w:t>效益指标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引进省外境内资金（亿元）</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123</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实际利用外资(万美元)</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加大对外商企业投资的服务力度，持续推动引进外资项目有效转换为到账外资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社会</w:t>
            </w:r>
            <w:r>
              <w:rPr>
                <w:rStyle w:val="19"/>
                <w:lang w:val="en-US" w:eastAsia="zh-CN" w:bidi="ar"/>
              </w:rPr>
              <w:t>效益指标</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加快“五好”园区建设招商，全州产业园区省外境内到位资金90.7亿元，占全州省外境内到位资金总量的58.5%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1"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可持续影响指</w:t>
            </w:r>
            <w:r>
              <w:rPr>
                <w:rStyle w:val="19"/>
                <w:lang w:val="en-US" w:eastAsia="zh-CN" w:bidi="ar"/>
              </w:rPr>
              <w:t>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优化营商环境</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加强营商环境优化服务</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《湘西州利用巡察手段助力招商引资工作》被纳入2021年全省10大招商引资工作好经验案例并由省商务厅报商务部。《湘西自治州招商引资项目全过程管理服务工作指引》获得省商务厅、广大企业的高度认可。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6"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宋体" w:eastAsia="仿宋_GB2312" w:cs="仿宋_GB2312"/>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利用投资拉动经济，解决社会就业，引进节能环保、高科技企业，实现可持续发展；</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26"/>
                <w:rFonts w:hAnsi="宋体"/>
                <w:lang w:val="en-US" w:eastAsia="zh-CN" w:bidi="ar"/>
              </w:rPr>
              <w:t>为全州脱贫攻坚全面建设小康社会积极贡献</w:t>
            </w:r>
            <w:r>
              <w:rPr>
                <w:rStyle w:val="27"/>
                <w:lang w:val="en-US" w:eastAsia="zh-CN" w:bidi="ar"/>
              </w:rPr>
              <w:t>“</w:t>
            </w:r>
            <w:r>
              <w:rPr>
                <w:rStyle w:val="26"/>
                <w:rFonts w:hAnsi="宋体"/>
                <w:lang w:val="en-US" w:eastAsia="zh-CN" w:bidi="ar"/>
              </w:rPr>
              <w:t>商务力量</w:t>
            </w:r>
            <w:r>
              <w:rPr>
                <w:rStyle w:val="27"/>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围绕特色农业、商贸物流、美丽乡村建设，分别编印了三个专题招商项目册，州商务局因助力美丽乡村建设项目招商突出而获评全州美丽湘西建设先进单位。</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0"/>
                <w:szCs w:val="20"/>
                <w:u w:val="none"/>
              </w:rPr>
            </w:pPr>
            <w:r>
              <w:rPr>
                <w:rStyle w:val="22"/>
                <w:rFonts w:hAnsi="宋体"/>
                <w:lang w:val="en-US" w:eastAsia="zh-CN" w:bidi="ar"/>
              </w:rPr>
              <w:t>满意</w:t>
            </w:r>
            <w:r>
              <w:rPr>
                <w:rStyle w:val="23"/>
                <w:lang w:val="en-US" w:eastAsia="zh-CN" w:bidi="ar"/>
              </w:rPr>
              <w:t>度指标（10分）</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服务对象满意度指</w:t>
            </w:r>
            <w:r>
              <w:rPr>
                <w:rStyle w:val="19"/>
                <w:lang w:val="en-US" w:eastAsia="zh-CN" w:bidi="ar"/>
              </w:rPr>
              <w:t>标</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社会公众满意度</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95%以上</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  95%</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宋体" w:eastAsia="仿宋_GB2312" w:cs="仿宋_GB2312"/>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16"/>
                <w:szCs w:val="16"/>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宋体" w:eastAsia="仿宋_GB2312" w:cs="仿宋_GB2312"/>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服务对象满意度</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95%以上</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62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6"/>
                <w:szCs w:val="16"/>
                <w:u w:val="none"/>
              </w:rPr>
            </w:pPr>
            <w:r>
              <w:rPr>
                <w:rStyle w:val="18"/>
                <w:rFonts w:hAnsi="宋体"/>
                <w:lang w:val="en-US" w:eastAsia="zh-CN" w:bidi="ar"/>
              </w:rPr>
              <w:t>总</w:t>
            </w:r>
            <w:r>
              <w:rPr>
                <w:rStyle w:val="19"/>
                <w:lang w:val="en-US" w:eastAsia="zh-CN" w:bidi="ar"/>
              </w:rPr>
              <w:t>分</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center"/>
        <w:rPr>
          <w:rFonts w:hint="eastAsia" w:eastAsia="仿宋_GB2312" w:cs="仿宋_GB2312" w:asciiTheme="minorHAnsi" w:hAnsiTheme="minorHAnsi"/>
          <w:kern w:val="2"/>
          <w:sz w:val="18"/>
          <w:szCs w:val="18"/>
          <w:lang w:val="en-US" w:eastAsia="zh-CN" w:bidi="ar-SA"/>
        </w:rPr>
      </w:pPr>
      <w:r>
        <w:rPr>
          <w:rFonts w:hint="eastAsia" w:eastAsia="仿宋_GB2312" w:cs="仿宋_GB2312" w:asciiTheme="minorHAnsi" w:hAnsiTheme="minorHAnsi"/>
          <w:kern w:val="2"/>
          <w:sz w:val="18"/>
          <w:szCs w:val="18"/>
          <w:lang w:val="en-US" w:eastAsia="zh-CN" w:bidi="ar-SA"/>
        </w:rPr>
        <w:t>说明：此表项目支出不包括财政部门要求单独进行项目支出绩效自评项目，每个一级项目支出填写一张项目支出绩效自评表。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center"/>
        <w:rPr>
          <w:rFonts w:hint="eastAsia" w:eastAsia="仿宋_GB2312" w:cs="仿宋_GB2312" w:asciiTheme="minorHAnsi" w:hAnsiTheme="minorHAnsi"/>
          <w:kern w:val="2"/>
          <w:sz w:val="18"/>
          <w:szCs w:val="18"/>
          <w:lang w:val="en-US" w:eastAsia="zh-CN" w:bidi="ar-SA"/>
        </w:rPr>
        <w:sectPr>
          <w:pgSz w:w="11906" w:h="16838"/>
          <w:pgMar w:top="1440" w:right="1803" w:bottom="1440" w:left="1803" w:header="851" w:footer="992" w:gutter="0"/>
          <w:cols w:space="0" w:num="1"/>
          <w:rtlGutter w:val="0"/>
          <w:docGrid w:type="lines" w:linePitch="319" w:charSpace="0"/>
        </w:sectPr>
      </w:pPr>
      <w:r>
        <w:rPr>
          <w:rFonts w:hint="eastAsia" w:eastAsia="仿宋_GB2312" w:cs="仿宋_GB2312" w:asciiTheme="minorHAnsi" w:hAnsiTheme="minorHAnsi"/>
          <w:kern w:val="2"/>
          <w:sz w:val="18"/>
          <w:szCs w:val="18"/>
          <w:lang w:val="en-US" w:eastAsia="zh-CN" w:bidi="ar-SA"/>
        </w:rPr>
        <w:t>单位负责人签字： 杨凌    填表人：彭艳   联系电话： 8528269    填报日期：2022年6月15日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b/>
          <w:bCs/>
          <w:i w:val="0"/>
          <w:iCs w:val="0"/>
          <w:caps w:val="0"/>
          <w:color w:val="333333"/>
          <w:spacing w:val="0"/>
          <w:sz w:val="16"/>
          <w:szCs w:val="16"/>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仿宋_GB18030">
    <w:altName w:val="方正仿宋_GBK"/>
    <w:panose1 w:val="02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83C31"/>
    <w:multiLevelType w:val="singleLevel"/>
    <w:tmpl w:val="D3783C31"/>
    <w:lvl w:ilvl="0" w:tentative="0">
      <w:start w:val="1"/>
      <w:numFmt w:val="decimal"/>
      <w:suff w:val="nothing"/>
      <w:lvlText w:val="%1、"/>
      <w:lvlJc w:val="left"/>
    </w:lvl>
  </w:abstractNum>
  <w:abstractNum w:abstractNumId="1">
    <w:nsid w:val="E25FADA2"/>
    <w:multiLevelType w:val="singleLevel"/>
    <w:tmpl w:val="E25FADA2"/>
    <w:lvl w:ilvl="0" w:tentative="0">
      <w:start w:val="2"/>
      <w:numFmt w:val="chineseCounting"/>
      <w:suff w:val="nothing"/>
      <w:lvlText w:val="（%1）"/>
      <w:lvlJc w:val="left"/>
      <w:rPr>
        <w:rFonts w:hint="eastAsia"/>
      </w:rPr>
    </w:lvl>
  </w:abstractNum>
  <w:abstractNum w:abstractNumId="2">
    <w:nsid w:val="EB35F5AE"/>
    <w:multiLevelType w:val="singleLevel"/>
    <w:tmpl w:val="EB35F5AE"/>
    <w:lvl w:ilvl="0" w:tentative="0">
      <w:start w:val="3"/>
      <w:numFmt w:val="chineseCounting"/>
      <w:suff w:val="nothing"/>
      <w:lvlText w:val="%1、"/>
      <w:lvlJc w:val="left"/>
      <w:rPr>
        <w:rFonts w:hint="eastAsia"/>
      </w:rPr>
    </w:lvl>
  </w:abstractNum>
  <w:abstractNum w:abstractNumId="3">
    <w:nsid w:val="4E5A4703"/>
    <w:multiLevelType w:val="singleLevel"/>
    <w:tmpl w:val="4E5A4703"/>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2I3YTc4MDNiZTM5NTYzZWEwMWQ3NmM5OWQ0ZmMifQ=="/>
  </w:docVars>
  <w:rsids>
    <w:rsidRoot w:val="709352C9"/>
    <w:rsid w:val="01D476E9"/>
    <w:rsid w:val="04281941"/>
    <w:rsid w:val="06344057"/>
    <w:rsid w:val="08257567"/>
    <w:rsid w:val="0CF14813"/>
    <w:rsid w:val="0D307327"/>
    <w:rsid w:val="0ED4568F"/>
    <w:rsid w:val="10E32902"/>
    <w:rsid w:val="110D7B84"/>
    <w:rsid w:val="13177B2F"/>
    <w:rsid w:val="14B270BA"/>
    <w:rsid w:val="162B0853"/>
    <w:rsid w:val="17F11DA8"/>
    <w:rsid w:val="17F55F2E"/>
    <w:rsid w:val="18DF11DC"/>
    <w:rsid w:val="1A1F7616"/>
    <w:rsid w:val="1A204BC7"/>
    <w:rsid w:val="1CB82E95"/>
    <w:rsid w:val="1D6E08A9"/>
    <w:rsid w:val="21264A27"/>
    <w:rsid w:val="228A7081"/>
    <w:rsid w:val="24157917"/>
    <w:rsid w:val="28D56457"/>
    <w:rsid w:val="29127E38"/>
    <w:rsid w:val="291E5AE2"/>
    <w:rsid w:val="2A332BDB"/>
    <w:rsid w:val="2A4F3821"/>
    <w:rsid w:val="2C882884"/>
    <w:rsid w:val="2DCB1F72"/>
    <w:rsid w:val="2F923E53"/>
    <w:rsid w:val="2FE8197A"/>
    <w:rsid w:val="31592A40"/>
    <w:rsid w:val="32026A50"/>
    <w:rsid w:val="33D1693A"/>
    <w:rsid w:val="34461109"/>
    <w:rsid w:val="35BE4BB7"/>
    <w:rsid w:val="361602B0"/>
    <w:rsid w:val="36EF1CBB"/>
    <w:rsid w:val="37FD98BF"/>
    <w:rsid w:val="38B76F8E"/>
    <w:rsid w:val="3A856C8B"/>
    <w:rsid w:val="3AA0115C"/>
    <w:rsid w:val="3B4F9CEB"/>
    <w:rsid w:val="3B5F12A9"/>
    <w:rsid w:val="3B6A1F8B"/>
    <w:rsid w:val="3B930A10"/>
    <w:rsid w:val="3CEF1B62"/>
    <w:rsid w:val="3DFF7DA7"/>
    <w:rsid w:val="3EAA0075"/>
    <w:rsid w:val="3FCD357C"/>
    <w:rsid w:val="3FEE328F"/>
    <w:rsid w:val="3FFC1225"/>
    <w:rsid w:val="401A5553"/>
    <w:rsid w:val="402D656A"/>
    <w:rsid w:val="40B33DB0"/>
    <w:rsid w:val="411E510D"/>
    <w:rsid w:val="42881AEA"/>
    <w:rsid w:val="43442682"/>
    <w:rsid w:val="43C306BE"/>
    <w:rsid w:val="442B27AA"/>
    <w:rsid w:val="456203BC"/>
    <w:rsid w:val="45D315AC"/>
    <w:rsid w:val="465A0995"/>
    <w:rsid w:val="467557CF"/>
    <w:rsid w:val="48A46959"/>
    <w:rsid w:val="49192F8E"/>
    <w:rsid w:val="4AB83F77"/>
    <w:rsid w:val="4B7E7DBC"/>
    <w:rsid w:val="4BEB1D39"/>
    <w:rsid w:val="4C483807"/>
    <w:rsid w:val="4CF878FD"/>
    <w:rsid w:val="502A2414"/>
    <w:rsid w:val="510F1BFD"/>
    <w:rsid w:val="51586419"/>
    <w:rsid w:val="51FED7AB"/>
    <w:rsid w:val="52647FEB"/>
    <w:rsid w:val="54684F5D"/>
    <w:rsid w:val="5475680E"/>
    <w:rsid w:val="5693577D"/>
    <w:rsid w:val="56EF5C02"/>
    <w:rsid w:val="57F535F0"/>
    <w:rsid w:val="596A4F3B"/>
    <w:rsid w:val="59EA7159"/>
    <w:rsid w:val="5A47D140"/>
    <w:rsid w:val="5B3B0919"/>
    <w:rsid w:val="5C6474B4"/>
    <w:rsid w:val="5EFA7CCD"/>
    <w:rsid w:val="5F3F3CCA"/>
    <w:rsid w:val="5FC96344"/>
    <w:rsid w:val="62D37F3E"/>
    <w:rsid w:val="63676B7D"/>
    <w:rsid w:val="639E46D5"/>
    <w:rsid w:val="64CD45D0"/>
    <w:rsid w:val="64F164A3"/>
    <w:rsid w:val="6524140B"/>
    <w:rsid w:val="65444FCA"/>
    <w:rsid w:val="697D6F38"/>
    <w:rsid w:val="6CB8121B"/>
    <w:rsid w:val="6EC425A0"/>
    <w:rsid w:val="6F3B6D06"/>
    <w:rsid w:val="6FBD1C66"/>
    <w:rsid w:val="6FCE5473"/>
    <w:rsid w:val="6FD56A49"/>
    <w:rsid w:val="709352C9"/>
    <w:rsid w:val="716D7562"/>
    <w:rsid w:val="72351AC8"/>
    <w:rsid w:val="730D7B4A"/>
    <w:rsid w:val="73B83F07"/>
    <w:rsid w:val="76C55B25"/>
    <w:rsid w:val="76FDB013"/>
    <w:rsid w:val="77EB5ACE"/>
    <w:rsid w:val="78AE45D3"/>
    <w:rsid w:val="78EB692E"/>
    <w:rsid w:val="79A30159"/>
    <w:rsid w:val="7A5C5530"/>
    <w:rsid w:val="7B274E79"/>
    <w:rsid w:val="7BB13F29"/>
    <w:rsid w:val="7BFE6D6C"/>
    <w:rsid w:val="7BFFA24F"/>
    <w:rsid w:val="7CF66685"/>
    <w:rsid w:val="7CF7E228"/>
    <w:rsid w:val="7D777A3E"/>
    <w:rsid w:val="7D822954"/>
    <w:rsid w:val="7D92D260"/>
    <w:rsid w:val="7EBBEB2D"/>
    <w:rsid w:val="7F7D58EC"/>
    <w:rsid w:val="7FEFB78E"/>
    <w:rsid w:val="7FFFF099"/>
    <w:rsid w:val="9D4B5CFF"/>
    <w:rsid w:val="AE777683"/>
    <w:rsid w:val="AF9FED9B"/>
    <w:rsid w:val="BA7B23C6"/>
    <w:rsid w:val="BBFBA674"/>
    <w:rsid w:val="BF5B5D79"/>
    <w:rsid w:val="BFBBFC76"/>
    <w:rsid w:val="C7FFFD5C"/>
    <w:rsid w:val="CBDE9A7C"/>
    <w:rsid w:val="D6EE5E4A"/>
    <w:rsid w:val="D74EAFE7"/>
    <w:rsid w:val="DCFEBF37"/>
    <w:rsid w:val="E9F71EFB"/>
    <w:rsid w:val="EAD2F31E"/>
    <w:rsid w:val="F6DACACA"/>
    <w:rsid w:val="F7DE34E1"/>
    <w:rsid w:val="FCF7A4F2"/>
    <w:rsid w:val="FDDD655C"/>
    <w:rsid w:val="FE734873"/>
    <w:rsid w:val="FF7E1D26"/>
    <w:rsid w:val="FFA5F56E"/>
    <w:rsid w:val="FFBAF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link w:val="13"/>
    <w:semiHidden/>
    <w:unhideWhenUsed/>
    <w:qFormat/>
    <w:uiPriority w:val="0"/>
    <w:pPr>
      <w:keepNext/>
      <w:keepLines/>
      <w:spacing w:before="260" w:beforeLines="0" w:beforeAutospacing="0" w:after="260" w:afterLines="0" w:afterAutospacing="0" w:line="413" w:lineRule="auto"/>
      <w:outlineLvl w:val="2"/>
    </w:pPr>
    <w:rPr>
      <w:rFonts w:eastAsia="黑体" w:asciiTheme="minorAscii" w:hAnsiTheme="minorAscii"/>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Body Text"/>
    <w:basedOn w:val="1"/>
    <w:next w:val="6"/>
    <w:qFormat/>
    <w:uiPriority w:val="99"/>
    <w:pPr>
      <w:jc w:val="center"/>
    </w:pPr>
    <w:rPr>
      <w:rFonts w:eastAsia="黑体"/>
      <w:sz w:val="44"/>
    </w:rPr>
  </w:style>
  <w:style w:type="paragraph" w:styleId="6">
    <w:name w:val="Body Text First Indent"/>
    <w:basedOn w:val="5"/>
    <w:qFormat/>
    <w:uiPriority w:val="0"/>
    <w:pPr>
      <w:ind w:firstLine="100" w:firstLineChars="100"/>
    </w:pPr>
  </w:style>
  <w:style w:type="paragraph" w:styleId="7">
    <w:name w:val="Body Text Indent"/>
    <w:basedOn w:val="1"/>
    <w:qFormat/>
    <w:uiPriority w:val="0"/>
    <w:pPr>
      <w:ind w:firstLine="200" w:firstLine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7"/>
    <w:qFormat/>
    <w:uiPriority w:val="0"/>
    <w:pPr>
      <w:jc w:val="left"/>
    </w:pPr>
    <w:rPr>
      <w:sz w:val="32"/>
    </w:rPr>
  </w:style>
  <w:style w:type="character" w:styleId="12">
    <w:name w:val="Strong"/>
    <w:basedOn w:val="11"/>
    <w:qFormat/>
    <w:uiPriority w:val="0"/>
    <w:rPr>
      <w:b/>
    </w:rPr>
  </w:style>
  <w:style w:type="character" w:customStyle="1" w:styleId="13">
    <w:name w:val="标题 3 Char"/>
    <w:link w:val="4"/>
    <w:qFormat/>
    <w:uiPriority w:val="0"/>
    <w:rPr>
      <w:rFonts w:eastAsia="黑体" w:asciiTheme="minorAscii" w:hAnsiTheme="minorAscii"/>
      <w:b/>
      <w:sz w:val="28"/>
    </w:rPr>
  </w:style>
  <w:style w:type="paragraph" w:customStyle="1" w:styleId="14">
    <w:name w:val="列出段落"/>
    <w:basedOn w:val="1"/>
    <w:qFormat/>
    <w:uiPriority w:val="0"/>
    <w:pPr>
      <w:ind w:firstLine="420" w:firstLineChars="200"/>
    </w:pPr>
    <w:rPr>
      <w:rFonts w:ascii="Calibri" w:hAnsi="Calibri"/>
      <w:szCs w:val="22"/>
    </w:rPr>
  </w:style>
  <w:style w:type="paragraph" w:customStyle="1" w:styleId="15">
    <w:name w:val="TOAHeading"/>
    <w:basedOn w:val="1"/>
    <w:next w:val="1"/>
    <w:qFormat/>
    <w:uiPriority w:val="0"/>
    <w:pPr>
      <w:spacing w:before="120"/>
    </w:pPr>
    <w:rPr>
      <w:rFonts w:ascii="Cambria" w:hAnsi="Cambria"/>
      <w:sz w:val="24"/>
    </w:rPr>
  </w:style>
  <w:style w:type="character" w:customStyle="1" w:styleId="16">
    <w:name w:val="font91"/>
    <w:basedOn w:val="11"/>
    <w:uiPriority w:val="0"/>
    <w:rPr>
      <w:rFonts w:hint="eastAsia" w:ascii="仿宋_GB2312" w:eastAsia="仿宋_GB2312" w:cs="仿宋_GB2312"/>
      <w:color w:val="000000"/>
      <w:sz w:val="18"/>
      <w:szCs w:val="18"/>
      <w:u w:val="none"/>
    </w:rPr>
  </w:style>
  <w:style w:type="character" w:customStyle="1" w:styleId="17">
    <w:name w:val="font191"/>
    <w:basedOn w:val="11"/>
    <w:uiPriority w:val="0"/>
    <w:rPr>
      <w:rFonts w:hint="eastAsia" w:ascii="宋体" w:hAnsi="宋体" w:eastAsia="宋体" w:cs="宋体"/>
      <w:color w:val="000000"/>
      <w:sz w:val="18"/>
      <w:szCs w:val="18"/>
      <w:u w:val="none"/>
    </w:rPr>
  </w:style>
  <w:style w:type="character" w:customStyle="1" w:styleId="18">
    <w:name w:val="font111"/>
    <w:basedOn w:val="11"/>
    <w:uiPriority w:val="0"/>
    <w:rPr>
      <w:rFonts w:hint="eastAsia" w:ascii="仿宋_GB2312" w:eastAsia="仿宋_GB2312" w:cs="仿宋_GB2312"/>
      <w:color w:val="000000"/>
      <w:sz w:val="16"/>
      <w:szCs w:val="16"/>
      <w:u w:val="none"/>
    </w:rPr>
  </w:style>
  <w:style w:type="character" w:customStyle="1" w:styleId="19">
    <w:name w:val="font101"/>
    <w:basedOn w:val="11"/>
    <w:uiPriority w:val="0"/>
    <w:rPr>
      <w:rFonts w:hint="eastAsia" w:ascii="宋体" w:hAnsi="宋体" w:eastAsia="宋体" w:cs="宋体"/>
      <w:color w:val="000000"/>
      <w:sz w:val="16"/>
      <w:szCs w:val="16"/>
      <w:u w:val="none"/>
    </w:rPr>
  </w:style>
  <w:style w:type="character" w:customStyle="1" w:styleId="20">
    <w:name w:val="font51"/>
    <w:basedOn w:val="11"/>
    <w:uiPriority w:val="0"/>
    <w:rPr>
      <w:rFonts w:hint="eastAsia" w:ascii="仿宋_GB2312" w:eastAsia="仿宋_GB2312" w:cs="仿宋_GB2312"/>
      <w:color w:val="000000"/>
      <w:sz w:val="16"/>
      <w:szCs w:val="16"/>
      <w:u w:val="none"/>
    </w:rPr>
  </w:style>
  <w:style w:type="character" w:customStyle="1" w:styleId="21">
    <w:name w:val="font31"/>
    <w:basedOn w:val="11"/>
    <w:uiPriority w:val="0"/>
    <w:rPr>
      <w:rFonts w:hint="eastAsia" w:ascii="宋体" w:hAnsi="宋体" w:eastAsia="宋体" w:cs="宋体"/>
      <w:color w:val="000000"/>
      <w:sz w:val="16"/>
      <w:szCs w:val="16"/>
      <w:u w:val="none"/>
    </w:rPr>
  </w:style>
  <w:style w:type="character" w:customStyle="1" w:styleId="22">
    <w:name w:val="font131"/>
    <w:basedOn w:val="11"/>
    <w:uiPriority w:val="0"/>
    <w:rPr>
      <w:rFonts w:hint="eastAsia" w:ascii="仿宋_GB2312" w:eastAsia="仿宋_GB2312" w:cs="仿宋_GB2312"/>
      <w:color w:val="000000"/>
      <w:sz w:val="20"/>
      <w:szCs w:val="20"/>
      <w:u w:val="none"/>
    </w:rPr>
  </w:style>
  <w:style w:type="character" w:customStyle="1" w:styleId="23">
    <w:name w:val="font121"/>
    <w:basedOn w:val="11"/>
    <w:uiPriority w:val="0"/>
    <w:rPr>
      <w:rFonts w:hint="eastAsia" w:ascii="宋体" w:hAnsi="宋体" w:eastAsia="宋体" w:cs="宋体"/>
      <w:color w:val="000000"/>
      <w:sz w:val="20"/>
      <w:szCs w:val="20"/>
      <w:u w:val="none"/>
    </w:rPr>
  </w:style>
  <w:style w:type="character" w:customStyle="1" w:styleId="24">
    <w:name w:val="font171"/>
    <w:basedOn w:val="11"/>
    <w:uiPriority w:val="0"/>
    <w:rPr>
      <w:rFonts w:hint="eastAsia" w:ascii="仿宋_GB2312" w:eastAsia="仿宋_GB2312" w:cs="仿宋_GB2312"/>
      <w:b/>
      <w:color w:val="000000"/>
      <w:sz w:val="16"/>
      <w:szCs w:val="16"/>
      <w:u w:val="none"/>
    </w:rPr>
  </w:style>
  <w:style w:type="character" w:customStyle="1" w:styleId="25">
    <w:name w:val="font41"/>
    <w:basedOn w:val="11"/>
    <w:uiPriority w:val="0"/>
    <w:rPr>
      <w:rFonts w:hint="eastAsia" w:ascii="宋体" w:hAnsi="宋体" w:eastAsia="宋体" w:cs="宋体"/>
      <w:b/>
      <w:color w:val="000000"/>
      <w:sz w:val="16"/>
      <w:szCs w:val="16"/>
      <w:u w:val="none"/>
    </w:rPr>
  </w:style>
  <w:style w:type="character" w:customStyle="1" w:styleId="26">
    <w:name w:val="font61"/>
    <w:basedOn w:val="11"/>
    <w:uiPriority w:val="0"/>
    <w:rPr>
      <w:rFonts w:hint="eastAsia" w:ascii="仿宋_GB2312" w:eastAsia="仿宋_GB2312" w:cs="仿宋_GB2312"/>
      <w:color w:val="000000"/>
      <w:sz w:val="16"/>
      <w:szCs w:val="16"/>
      <w:u w:val="none"/>
    </w:rPr>
  </w:style>
  <w:style w:type="character" w:customStyle="1" w:styleId="27">
    <w:name w:val="font21"/>
    <w:basedOn w:val="11"/>
    <w:uiPriority w:val="0"/>
    <w:rPr>
      <w:rFonts w:hint="eastAsia" w:ascii="宋体" w:hAnsi="宋体" w:eastAsia="宋体" w:cs="宋体"/>
      <w:color w:val="000000"/>
      <w:sz w:val="16"/>
      <w:szCs w:val="16"/>
      <w:u w:val="none"/>
    </w:rPr>
  </w:style>
  <w:style w:type="character" w:customStyle="1" w:styleId="28">
    <w:name w:val="font11"/>
    <w:basedOn w:val="11"/>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14464</Words>
  <Characters>16385</Characters>
  <Lines>0</Lines>
  <Paragraphs>0</Paragraphs>
  <TotalTime>2</TotalTime>
  <ScaleCrop>false</ScaleCrop>
  <LinksUpToDate>false</LinksUpToDate>
  <CharactersWithSpaces>16527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2022-06-05T03:05:00Z</dcterms:created>
  <dc:creator>一口口吹着泡泡走过o</dc:creator>
  <cp:lastModifiedBy>greatwall</cp:lastModifiedBy>
  <dcterms:modified xsi:type="dcterms:W3CDTF">2022-06-23T17:07:10Z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0D0C267FBD8849609D3CCD41D0227C72</vt:lpwstr>
  </property>
</Properties>
</file>