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0"/>
        <w:jc w:val="center"/>
        <w:textAlignment w:val="center"/>
        <w:rPr>
          <w:rFonts w:hint="eastAsia" w:ascii="宋体" w:hAnsi="宋体" w:eastAsia="宋体" w:cs="宋体"/>
          <w:b/>
          <w:bCs/>
          <w:i w:val="0"/>
          <w:iCs w:val="0"/>
          <w:caps w:val="0"/>
          <w:color w:val="333333"/>
          <w:spacing w:val="0"/>
          <w:sz w:val="48"/>
          <w:szCs w:val="48"/>
          <w:shd w:val="clear" w:fill="FFFFFF"/>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0"/>
        <w:jc w:val="center"/>
        <w:textAlignment w:val="center"/>
        <w:rPr>
          <w:rFonts w:hint="eastAsia" w:ascii="宋体" w:hAnsi="宋体" w:eastAsia="宋体" w:cs="宋体"/>
          <w:b/>
          <w:bCs/>
          <w:i w:val="0"/>
          <w:iCs w:val="0"/>
          <w:caps w:val="0"/>
          <w:color w:val="333333"/>
          <w:spacing w:val="0"/>
          <w:sz w:val="48"/>
          <w:szCs w:val="48"/>
          <w:shd w:val="clear" w:fill="FFFFFF"/>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0"/>
        <w:jc w:val="center"/>
        <w:textAlignment w:val="center"/>
        <w:rPr>
          <w:rFonts w:hint="eastAsia" w:ascii="宋体" w:hAnsi="宋体" w:eastAsia="宋体" w:cs="宋体"/>
          <w:b/>
          <w:bCs/>
          <w:i w:val="0"/>
          <w:iCs w:val="0"/>
          <w:caps w:val="0"/>
          <w:color w:val="333333"/>
          <w:spacing w:val="0"/>
          <w:sz w:val="16"/>
          <w:szCs w:val="16"/>
        </w:rPr>
      </w:pPr>
      <w:r>
        <w:rPr>
          <w:rFonts w:hint="eastAsia" w:ascii="宋体" w:hAnsi="宋体" w:eastAsia="宋体" w:cs="宋体"/>
          <w:b/>
          <w:bCs/>
          <w:i w:val="0"/>
          <w:iCs w:val="0"/>
          <w:caps w:val="0"/>
          <w:color w:val="333333"/>
          <w:spacing w:val="0"/>
          <w:sz w:val="48"/>
          <w:szCs w:val="48"/>
          <w:shd w:val="clear" w:fill="FFFFFF"/>
        </w:rPr>
        <w:t>湘西土家族苗族自治州商务局</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0"/>
        <w:jc w:val="center"/>
        <w:textAlignment w:val="center"/>
        <w:rPr>
          <w:rFonts w:hint="eastAsia" w:ascii="宋体" w:hAnsi="宋体" w:eastAsia="宋体" w:cs="宋体"/>
          <w:b/>
          <w:bCs/>
          <w:i w:val="0"/>
          <w:iCs w:val="0"/>
          <w:caps w:val="0"/>
          <w:color w:val="333333"/>
          <w:spacing w:val="0"/>
          <w:sz w:val="16"/>
          <w:szCs w:val="16"/>
        </w:rPr>
      </w:pPr>
      <w:r>
        <w:rPr>
          <w:rFonts w:hint="eastAsia" w:ascii="宋体" w:hAnsi="宋体" w:eastAsia="宋体" w:cs="宋体"/>
          <w:b/>
          <w:bCs/>
          <w:i w:val="0"/>
          <w:iCs w:val="0"/>
          <w:caps w:val="0"/>
          <w:color w:val="333333"/>
          <w:spacing w:val="0"/>
          <w:sz w:val="48"/>
          <w:szCs w:val="48"/>
          <w:shd w:val="clear" w:fill="FFFFFF"/>
          <w:lang w:eastAsia="zh-CN"/>
        </w:rPr>
        <w:t>202</w:t>
      </w:r>
      <w:r>
        <w:rPr>
          <w:rFonts w:hint="eastAsia" w:ascii="宋体" w:hAnsi="宋体" w:eastAsia="宋体" w:cs="宋体"/>
          <w:b/>
          <w:bCs/>
          <w:i w:val="0"/>
          <w:iCs w:val="0"/>
          <w:caps w:val="0"/>
          <w:color w:val="333333"/>
          <w:spacing w:val="0"/>
          <w:sz w:val="48"/>
          <w:szCs w:val="48"/>
          <w:shd w:val="clear" w:fill="FFFFFF"/>
          <w:lang w:val="en-US" w:eastAsia="zh-CN"/>
        </w:rPr>
        <w:t>2</w:t>
      </w:r>
      <w:r>
        <w:rPr>
          <w:rFonts w:hint="eastAsia" w:ascii="宋体" w:hAnsi="宋体" w:eastAsia="宋体" w:cs="宋体"/>
          <w:b/>
          <w:bCs/>
          <w:i w:val="0"/>
          <w:iCs w:val="0"/>
          <w:caps w:val="0"/>
          <w:color w:val="333333"/>
          <w:spacing w:val="0"/>
          <w:sz w:val="48"/>
          <w:szCs w:val="48"/>
          <w:shd w:val="clear" w:fill="FFFFFF"/>
          <w:lang w:eastAsia="zh-CN"/>
        </w:rPr>
        <w:t>年度</w:t>
      </w:r>
      <w:r>
        <w:rPr>
          <w:rFonts w:hint="eastAsia" w:ascii="宋体" w:hAnsi="宋体" w:eastAsia="宋体" w:cs="宋体"/>
          <w:b/>
          <w:bCs/>
          <w:i w:val="0"/>
          <w:iCs w:val="0"/>
          <w:caps w:val="0"/>
          <w:color w:val="333333"/>
          <w:spacing w:val="0"/>
          <w:sz w:val="48"/>
          <w:szCs w:val="48"/>
          <w:shd w:val="clear" w:fill="FFFFFF"/>
        </w:rPr>
        <w:t>部门整体支出绩效自评报告</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0"/>
        <w:jc w:val="center"/>
        <w:textAlignment w:val="center"/>
        <w:rPr>
          <w:rFonts w:hint="eastAsia" w:ascii="宋体" w:hAnsi="宋体" w:eastAsia="宋体" w:cs="宋体"/>
          <w:b/>
          <w:bCs/>
          <w:i w:val="0"/>
          <w:iCs w:val="0"/>
          <w:caps w:val="0"/>
          <w:color w:val="333333"/>
          <w:spacing w:val="0"/>
          <w:sz w:val="16"/>
          <w:szCs w:val="16"/>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0"/>
        <w:jc w:val="center"/>
        <w:textAlignment w:val="center"/>
        <w:rPr>
          <w:rFonts w:hint="eastAsia" w:ascii="宋体" w:hAnsi="宋体" w:eastAsia="宋体" w:cs="宋体"/>
          <w:i w:val="0"/>
          <w:iCs w:val="0"/>
          <w:caps w:val="0"/>
          <w:color w:val="333333"/>
          <w:spacing w:val="0"/>
          <w:sz w:val="16"/>
          <w:szCs w:val="16"/>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0"/>
        <w:jc w:val="center"/>
        <w:textAlignment w:val="center"/>
        <w:rPr>
          <w:rFonts w:hint="eastAsia" w:ascii="宋体" w:hAnsi="宋体" w:eastAsia="宋体" w:cs="宋体"/>
          <w:i w:val="0"/>
          <w:iCs w:val="0"/>
          <w:caps w:val="0"/>
          <w:color w:val="333333"/>
          <w:spacing w:val="0"/>
          <w:sz w:val="16"/>
          <w:szCs w:val="16"/>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0"/>
        <w:jc w:val="center"/>
        <w:textAlignment w:val="center"/>
        <w:rPr>
          <w:rFonts w:hint="eastAsia" w:ascii="宋体" w:hAnsi="宋体" w:eastAsia="宋体" w:cs="宋体"/>
          <w:i w:val="0"/>
          <w:iCs w:val="0"/>
          <w:caps w:val="0"/>
          <w:color w:val="333333"/>
          <w:spacing w:val="0"/>
          <w:sz w:val="16"/>
          <w:szCs w:val="16"/>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0"/>
        <w:jc w:val="center"/>
        <w:textAlignment w:val="center"/>
        <w:rPr>
          <w:rFonts w:hint="eastAsia" w:ascii="宋体" w:hAnsi="宋体" w:eastAsia="宋体" w:cs="宋体"/>
          <w:i w:val="0"/>
          <w:iCs w:val="0"/>
          <w:caps w:val="0"/>
          <w:color w:val="333333"/>
          <w:spacing w:val="0"/>
          <w:sz w:val="16"/>
          <w:szCs w:val="16"/>
        </w:rPr>
      </w:pPr>
    </w:p>
    <w:p>
      <w:pPr>
        <w:spacing w:before="156" w:beforeLines="50" w:line="348" w:lineRule="auto"/>
        <w:ind w:left="3520" w:hanging="3520" w:hangingChars="1100"/>
        <w:rPr>
          <w:rFonts w:hint="eastAsia" w:eastAsia="仿宋_GB2312"/>
          <w:sz w:val="32"/>
          <w:szCs w:val="32"/>
          <w:u w:val="single"/>
          <w:lang w:eastAsia="zh-CN"/>
        </w:rPr>
      </w:pPr>
      <w:r>
        <w:rPr>
          <w:rFonts w:hint="eastAsia" w:eastAsia="仿宋_GB2312"/>
          <w:sz w:val="32"/>
          <w:szCs w:val="32"/>
        </w:rPr>
        <w:t>部门(单位)名称（公章）：</w:t>
      </w:r>
      <w:r>
        <w:rPr>
          <w:rFonts w:hint="eastAsia" w:eastAsia="仿宋_GB2312"/>
          <w:sz w:val="32"/>
          <w:szCs w:val="32"/>
          <w:u w:val="single"/>
          <w:lang w:eastAsia="zh-CN"/>
        </w:rPr>
        <w:t>湘西土家族苗族自治州</w:t>
      </w:r>
      <w:r>
        <w:rPr>
          <w:rFonts w:hint="eastAsia" w:eastAsia="仿宋_GB2312"/>
          <w:sz w:val="32"/>
          <w:szCs w:val="32"/>
          <w:u w:val="single"/>
          <w:lang w:val="en-US" w:eastAsia="zh-CN"/>
        </w:rPr>
        <w:t>商务</w:t>
      </w:r>
      <w:r>
        <w:rPr>
          <w:rFonts w:hint="eastAsia" w:eastAsia="仿宋_GB2312"/>
          <w:sz w:val="32"/>
          <w:szCs w:val="32"/>
          <w:u w:val="single"/>
          <w:lang w:eastAsia="zh-CN"/>
        </w:rPr>
        <w:t>局</w:t>
      </w:r>
      <w:r>
        <w:rPr>
          <w:rFonts w:hint="eastAsia" w:eastAsia="仿宋_GB2312"/>
          <w:sz w:val="32"/>
          <w:szCs w:val="32"/>
          <w:u w:val="single"/>
          <w:lang w:val="en-US" w:eastAsia="zh-CN"/>
        </w:rPr>
        <w:t xml:space="preserve">        </w:t>
      </w:r>
    </w:p>
    <w:p>
      <w:pPr>
        <w:spacing w:before="156" w:beforeLines="50" w:line="348" w:lineRule="auto"/>
        <w:ind w:firstLine="480" w:firstLineChars="150"/>
        <w:rPr>
          <w:rFonts w:hint="eastAsia" w:eastAsia="仿宋_GB2312"/>
          <w:sz w:val="32"/>
          <w:szCs w:val="32"/>
          <w:u w:val="single"/>
        </w:rPr>
      </w:pPr>
    </w:p>
    <w:p>
      <w:pPr>
        <w:spacing w:before="156" w:beforeLines="50" w:line="348" w:lineRule="auto"/>
        <w:ind w:firstLine="480" w:firstLineChars="150"/>
        <w:rPr>
          <w:rFonts w:hint="eastAsia" w:eastAsia="仿宋_GB2312"/>
          <w:spacing w:val="20"/>
          <w:sz w:val="32"/>
          <w:szCs w:val="32"/>
          <w:highlight w:val="none"/>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highlight w:val="none"/>
          <w:u w:val="single"/>
        </w:rPr>
        <w:t xml:space="preserve"> </w:t>
      </w:r>
      <w:r>
        <w:rPr>
          <w:rFonts w:hint="eastAsia" w:eastAsia="仿宋_GB2312"/>
          <w:spacing w:val="20"/>
          <w:sz w:val="32"/>
          <w:szCs w:val="32"/>
          <w:highlight w:val="none"/>
          <w:u w:val="single"/>
          <w:lang w:val="en-US" w:eastAsia="zh-CN"/>
        </w:rPr>
        <w:t xml:space="preserve"> </w:t>
      </w:r>
      <w:r>
        <w:rPr>
          <w:rFonts w:hint="eastAsia" w:eastAsia="仿宋_GB2312"/>
          <w:spacing w:val="20"/>
          <w:sz w:val="32"/>
          <w:szCs w:val="32"/>
          <w:highlight w:val="none"/>
          <w:u w:val="single"/>
        </w:rPr>
        <w:t xml:space="preserve">   </w:t>
      </w:r>
      <w:r>
        <w:rPr>
          <w:rFonts w:hint="eastAsia" w:eastAsia="仿宋_GB2312"/>
          <w:spacing w:val="20"/>
          <w:sz w:val="32"/>
          <w:szCs w:val="32"/>
          <w:highlight w:val="none"/>
          <w:u w:val="single"/>
          <w:lang w:val="en-US" w:eastAsia="zh-CN"/>
        </w:rPr>
        <w:t xml:space="preserve">916001                </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2102"/>
        <w:jc w:val="left"/>
        <w:textAlignment w:val="center"/>
        <w:rPr>
          <w:rFonts w:hint="eastAsia" w:ascii="宋体" w:hAnsi="宋体" w:eastAsia="宋体" w:cs="宋体"/>
          <w:i w:val="0"/>
          <w:iCs w:val="0"/>
          <w:caps w:val="0"/>
          <w:color w:val="333333"/>
          <w:spacing w:val="0"/>
          <w:sz w:val="16"/>
          <w:szCs w:val="16"/>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2102"/>
        <w:jc w:val="left"/>
        <w:textAlignment w:val="center"/>
        <w:rPr>
          <w:rFonts w:hint="eastAsia" w:ascii="宋体" w:hAnsi="宋体" w:eastAsia="宋体" w:cs="宋体"/>
          <w:i w:val="0"/>
          <w:iCs w:val="0"/>
          <w:caps w:val="0"/>
          <w:color w:val="333333"/>
          <w:spacing w:val="0"/>
          <w:sz w:val="16"/>
          <w:szCs w:val="16"/>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2102"/>
        <w:jc w:val="left"/>
        <w:textAlignment w:val="center"/>
        <w:rPr>
          <w:rFonts w:hint="eastAsia" w:ascii="宋体" w:hAnsi="宋体" w:eastAsia="宋体" w:cs="宋体"/>
          <w:i w:val="0"/>
          <w:iCs w:val="0"/>
          <w:caps w:val="0"/>
          <w:color w:val="333333"/>
          <w:spacing w:val="0"/>
          <w:sz w:val="16"/>
          <w:szCs w:val="16"/>
        </w:rPr>
      </w:pPr>
    </w:p>
    <w:p>
      <w:pPr>
        <w:spacing w:before="156" w:beforeLines="50" w:line="348" w:lineRule="auto"/>
        <w:ind w:firstLine="640" w:firstLineChars="200"/>
        <w:rPr>
          <w:rFonts w:hint="eastAsia" w:eastAsia="仿宋_GB2312"/>
          <w:sz w:val="32"/>
          <w:szCs w:val="32"/>
        </w:rPr>
      </w:pPr>
      <w:r>
        <w:rPr>
          <w:rFonts w:hint="eastAsia" w:eastAsia="仿宋_GB2312"/>
          <w:sz w:val="32"/>
          <w:szCs w:val="32"/>
        </w:rPr>
        <w:t>评价方式：</w:t>
      </w:r>
      <w:r>
        <w:rPr>
          <w:rFonts w:hint="eastAsia" w:eastAsia="仿宋_GB2312"/>
          <w:sz w:val="32"/>
          <w:szCs w:val="32"/>
          <w:u w:val="none"/>
          <w:lang w:eastAsia="zh-CN"/>
        </w:rPr>
        <w:t>湘西土家族苗族自治州商务局</w:t>
      </w:r>
      <w:r>
        <w:rPr>
          <w:rFonts w:hint="eastAsia" w:eastAsia="仿宋_GB2312"/>
          <w:sz w:val="32"/>
          <w:szCs w:val="32"/>
          <w:u w:val="none"/>
        </w:rPr>
        <w:t>绩效自评</w:t>
      </w:r>
    </w:p>
    <w:p>
      <w:pPr>
        <w:widowControl/>
        <w:ind w:firstLine="480" w:firstLineChars="150"/>
        <w:jc w:val="left"/>
        <w:rPr>
          <w:rFonts w:hint="eastAsia" w:eastAsia="仿宋_GB2312" w:cs="Arial"/>
          <w:kern w:val="0"/>
          <w:sz w:val="28"/>
          <w:szCs w:val="28"/>
        </w:rPr>
      </w:pPr>
      <w:r>
        <w:rPr>
          <w:rFonts w:hint="eastAsia" w:eastAsia="仿宋_GB2312"/>
          <w:sz w:val="32"/>
          <w:szCs w:val="32"/>
        </w:rPr>
        <w:t>评价机构：</w:t>
      </w:r>
      <w:r>
        <w:rPr>
          <w:rFonts w:hint="eastAsia" w:eastAsia="仿宋_GB2312"/>
          <w:sz w:val="32"/>
          <w:szCs w:val="32"/>
          <w:u w:val="none"/>
          <w:lang w:eastAsia="zh-CN"/>
        </w:rPr>
        <w:t>湘西土家族苗族自治州商务局</w:t>
      </w:r>
      <w:r>
        <w:rPr>
          <w:rFonts w:hint="eastAsia" w:eastAsia="仿宋_GB2312"/>
          <w:sz w:val="32"/>
          <w:szCs w:val="32"/>
        </w:rPr>
        <w:t xml:space="preserve">评价组  </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418"/>
        <w:jc w:val="left"/>
        <w:textAlignment w:val="center"/>
        <w:rPr>
          <w:rFonts w:hint="eastAsia" w:ascii="宋体" w:hAnsi="宋体" w:eastAsia="宋体" w:cs="宋体"/>
          <w:i w:val="0"/>
          <w:iCs w:val="0"/>
          <w:caps w:val="0"/>
          <w:color w:val="333333"/>
          <w:spacing w:val="0"/>
          <w:sz w:val="16"/>
          <w:szCs w:val="16"/>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0"/>
        <w:jc w:val="center"/>
        <w:textAlignment w:val="center"/>
        <w:rPr>
          <w:rFonts w:hint="eastAsia" w:ascii="宋体" w:hAnsi="宋体" w:eastAsia="宋体" w:cs="宋体"/>
          <w:i w:val="0"/>
          <w:iCs w:val="0"/>
          <w:caps w:val="0"/>
          <w:color w:val="333333"/>
          <w:spacing w:val="0"/>
          <w:sz w:val="16"/>
          <w:szCs w:val="16"/>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0"/>
        <w:jc w:val="center"/>
        <w:textAlignment w:val="center"/>
        <w:rPr>
          <w:rFonts w:hint="eastAsia" w:ascii="宋体" w:hAnsi="宋体" w:eastAsia="宋体" w:cs="宋体"/>
          <w:i w:val="0"/>
          <w:iCs w:val="0"/>
          <w:caps w:val="0"/>
          <w:color w:val="333333"/>
          <w:spacing w:val="0"/>
          <w:sz w:val="16"/>
          <w:szCs w:val="16"/>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0"/>
        <w:jc w:val="center"/>
        <w:textAlignment w:val="center"/>
        <w:rPr>
          <w:rFonts w:hint="eastAsia" w:ascii="宋体" w:hAnsi="宋体" w:eastAsia="宋体" w:cs="宋体"/>
          <w:i w:val="0"/>
          <w:iCs w:val="0"/>
          <w:caps w:val="0"/>
          <w:color w:val="333333"/>
          <w:spacing w:val="0"/>
          <w:sz w:val="16"/>
          <w:szCs w:val="16"/>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0"/>
        <w:jc w:val="center"/>
        <w:textAlignment w:val="center"/>
        <w:rPr>
          <w:rFonts w:hint="eastAsia" w:ascii="宋体" w:hAnsi="宋体" w:eastAsia="宋体" w:cs="宋体"/>
          <w:i w:val="0"/>
          <w:iCs w:val="0"/>
          <w:caps w:val="0"/>
          <w:color w:val="333333"/>
          <w:spacing w:val="0"/>
          <w:sz w:val="16"/>
          <w:szCs w:val="16"/>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1680" w:firstLineChars="600"/>
        <w:jc w:val="both"/>
        <w:textAlignment w:val="center"/>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28"/>
          <w:szCs w:val="28"/>
          <w:shd w:val="clear" w:fill="FFFFFF"/>
        </w:rPr>
        <w:t>报告时间：</w:t>
      </w:r>
      <w:r>
        <w:rPr>
          <w:rFonts w:hint="eastAsia" w:ascii="宋体" w:hAnsi="宋体" w:eastAsia="宋体" w:cs="宋体"/>
          <w:i w:val="0"/>
          <w:iCs w:val="0"/>
          <w:caps w:val="0"/>
          <w:color w:val="333333"/>
          <w:spacing w:val="0"/>
          <w:sz w:val="28"/>
          <w:szCs w:val="28"/>
          <w:shd w:val="clear" w:fill="FFFFFF"/>
          <w:lang w:val="en-US" w:eastAsia="zh-CN"/>
        </w:rPr>
        <w:t xml:space="preserve"> </w:t>
      </w:r>
      <w:r>
        <w:rPr>
          <w:rFonts w:hint="eastAsia" w:ascii="宋体" w:hAnsi="宋体" w:eastAsia="宋体" w:cs="宋体"/>
          <w:i w:val="0"/>
          <w:iCs w:val="0"/>
          <w:caps w:val="0"/>
          <w:color w:val="333333"/>
          <w:spacing w:val="0"/>
          <w:sz w:val="32"/>
          <w:szCs w:val="32"/>
          <w:u w:val="single"/>
          <w:shd w:val="clear" w:fill="FFFFFF"/>
        </w:rPr>
        <w:t> 202</w:t>
      </w:r>
      <w:r>
        <w:rPr>
          <w:rFonts w:hint="default" w:ascii="宋体" w:hAnsi="宋体" w:eastAsia="宋体" w:cs="宋体"/>
          <w:i w:val="0"/>
          <w:iCs w:val="0"/>
          <w:caps w:val="0"/>
          <w:color w:val="333333"/>
          <w:spacing w:val="0"/>
          <w:sz w:val="32"/>
          <w:szCs w:val="32"/>
          <w:u w:val="single"/>
          <w:shd w:val="clear" w:fill="FFFFFF"/>
          <w:lang w:val="en"/>
        </w:rPr>
        <w:t>3</w:t>
      </w:r>
      <w:r>
        <w:rPr>
          <w:rFonts w:hint="eastAsia" w:ascii="宋体" w:hAnsi="宋体" w:eastAsia="宋体" w:cs="宋体"/>
          <w:i w:val="0"/>
          <w:iCs w:val="0"/>
          <w:caps w:val="0"/>
          <w:color w:val="333333"/>
          <w:spacing w:val="0"/>
          <w:sz w:val="32"/>
          <w:szCs w:val="32"/>
          <w:u w:val="single"/>
          <w:shd w:val="clear" w:fill="FFFFFF"/>
        </w:rPr>
        <w:t xml:space="preserve">   </w:t>
      </w:r>
      <w:r>
        <w:rPr>
          <w:rFonts w:hint="eastAsia" w:ascii="宋体" w:hAnsi="宋体" w:eastAsia="宋体" w:cs="宋体"/>
          <w:i w:val="0"/>
          <w:iCs w:val="0"/>
          <w:caps w:val="0"/>
          <w:color w:val="333333"/>
          <w:spacing w:val="0"/>
          <w:sz w:val="32"/>
          <w:szCs w:val="32"/>
          <w:shd w:val="clear" w:fill="FFFFFF"/>
        </w:rPr>
        <w:t>年</w:t>
      </w:r>
      <w:r>
        <w:rPr>
          <w:rFonts w:hint="eastAsia" w:ascii="宋体" w:hAnsi="宋体" w:eastAsia="宋体" w:cs="宋体"/>
          <w:i w:val="0"/>
          <w:iCs w:val="0"/>
          <w:caps w:val="0"/>
          <w:color w:val="333333"/>
          <w:spacing w:val="0"/>
          <w:sz w:val="32"/>
          <w:szCs w:val="32"/>
          <w:u w:val="single"/>
          <w:shd w:val="clear" w:fill="FFFFFF"/>
        </w:rPr>
        <w:t>  6 </w:t>
      </w:r>
      <w:r>
        <w:rPr>
          <w:rFonts w:hint="eastAsia" w:ascii="宋体" w:hAnsi="宋体" w:eastAsia="宋体" w:cs="宋体"/>
          <w:i w:val="0"/>
          <w:iCs w:val="0"/>
          <w:caps w:val="0"/>
          <w:color w:val="333333"/>
          <w:spacing w:val="0"/>
          <w:sz w:val="32"/>
          <w:szCs w:val="32"/>
          <w:shd w:val="clear" w:fill="FFFFFF"/>
        </w:rPr>
        <w:t>月</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2102"/>
        <w:textAlignment w:val="center"/>
        <w:rPr>
          <w:rFonts w:hint="eastAsia" w:ascii="宋体" w:hAnsi="宋体" w:eastAsia="宋体" w:cs="宋体"/>
          <w:i w:val="0"/>
          <w:iCs w:val="0"/>
          <w:caps w:val="0"/>
          <w:color w:val="333333"/>
          <w:spacing w:val="0"/>
          <w:sz w:val="16"/>
          <w:szCs w:val="16"/>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2102"/>
        <w:textAlignment w:val="center"/>
        <w:rPr>
          <w:rFonts w:hint="eastAsia" w:ascii="宋体" w:hAnsi="宋体" w:eastAsia="宋体" w:cs="宋体"/>
          <w:i w:val="0"/>
          <w:iCs w:val="0"/>
          <w:caps w:val="0"/>
          <w:color w:val="333333"/>
          <w:spacing w:val="0"/>
          <w:sz w:val="16"/>
          <w:szCs w:val="16"/>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2102"/>
        <w:textAlignment w:val="center"/>
        <w:rPr>
          <w:rFonts w:hint="eastAsia" w:ascii="宋体" w:hAnsi="宋体" w:eastAsia="宋体" w:cs="宋体"/>
          <w:i w:val="0"/>
          <w:iCs w:val="0"/>
          <w:caps w:val="0"/>
          <w:color w:val="333333"/>
          <w:spacing w:val="0"/>
          <w:sz w:val="16"/>
          <w:szCs w:val="16"/>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2102"/>
        <w:textAlignment w:val="center"/>
        <w:rPr>
          <w:rFonts w:hint="eastAsia" w:ascii="宋体" w:hAnsi="宋体" w:eastAsia="宋体" w:cs="宋体"/>
          <w:i w:val="0"/>
          <w:iCs w:val="0"/>
          <w:caps w:val="0"/>
          <w:color w:val="333333"/>
          <w:spacing w:val="0"/>
          <w:sz w:val="16"/>
          <w:szCs w:val="16"/>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right="0"/>
        <w:textAlignment w:val="center"/>
        <w:rPr>
          <w:rFonts w:hint="eastAsia" w:ascii="宋体" w:hAnsi="宋体" w:eastAsia="宋体" w:cs="宋体"/>
          <w:i w:val="0"/>
          <w:iCs w:val="0"/>
          <w:caps w:val="0"/>
          <w:color w:val="333333"/>
          <w:spacing w:val="0"/>
          <w:sz w:val="16"/>
          <w:szCs w:val="16"/>
        </w:rPr>
      </w:pPr>
    </w:p>
    <w:tbl>
      <w:tblPr>
        <w:tblStyle w:val="10"/>
        <w:tblW w:w="940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402"/>
        <w:gridCol w:w="1245"/>
        <w:gridCol w:w="961"/>
        <w:gridCol w:w="893"/>
        <w:gridCol w:w="838"/>
        <w:gridCol w:w="941"/>
        <w:gridCol w:w="245"/>
        <w:gridCol w:w="768"/>
        <w:gridCol w:w="21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jc w:val="center"/>
        </w:trPr>
        <w:tc>
          <w:tcPr>
            <w:tcW w:w="9405" w:type="dxa"/>
            <w:gridSpan w:val="9"/>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16"/>
                <w:szCs w:val="16"/>
              </w:rPr>
            </w:pPr>
            <w:r>
              <w:rPr>
                <w:rFonts w:hint="eastAsia" w:ascii="宋体" w:hAnsi="宋体" w:eastAsia="宋体" w:cs="宋体"/>
                <w:b/>
                <w:bCs/>
                <w:sz w:val="28"/>
                <w:szCs w:val="28"/>
              </w:rPr>
              <w:t>一、部门（单位）基本概况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jc w:val="center"/>
        </w:trPr>
        <w:tc>
          <w:tcPr>
            <w:tcW w:w="1402"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联系人</w:t>
            </w:r>
          </w:p>
        </w:tc>
        <w:tc>
          <w:tcPr>
            <w:tcW w:w="3099" w:type="dxa"/>
            <w:gridSpan w:val="3"/>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彭 艳</w:t>
            </w:r>
          </w:p>
        </w:tc>
        <w:tc>
          <w:tcPr>
            <w:tcW w:w="838"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联系电话</w:t>
            </w:r>
          </w:p>
        </w:tc>
        <w:tc>
          <w:tcPr>
            <w:tcW w:w="4066" w:type="dxa"/>
            <w:gridSpan w:val="4"/>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0743-8528269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jc w:val="center"/>
        </w:trPr>
        <w:tc>
          <w:tcPr>
            <w:tcW w:w="1402"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人员编制</w:t>
            </w:r>
          </w:p>
        </w:tc>
        <w:tc>
          <w:tcPr>
            <w:tcW w:w="3099" w:type="dxa"/>
            <w:gridSpan w:val="3"/>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default" w:ascii="仿宋_GB2312" w:hAnsi="仿宋_GB2312" w:eastAsia="仿宋_GB2312" w:cs="仿宋_GB2312"/>
                <w:sz w:val="24"/>
                <w:szCs w:val="24"/>
                <w:lang w:val="en" w:eastAsia="zh-CN"/>
              </w:rPr>
            </w:pPr>
            <w:r>
              <w:rPr>
                <w:rFonts w:hint="default" w:ascii="仿宋_GB2312" w:hAnsi="仿宋_GB2312" w:eastAsia="仿宋_GB2312" w:cs="仿宋_GB2312"/>
                <w:sz w:val="24"/>
                <w:szCs w:val="24"/>
                <w:lang w:val="en" w:eastAsia="zh-CN"/>
              </w:rPr>
              <w:t>75</w:t>
            </w:r>
          </w:p>
        </w:tc>
        <w:tc>
          <w:tcPr>
            <w:tcW w:w="838"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实有人数</w:t>
            </w:r>
          </w:p>
        </w:tc>
        <w:tc>
          <w:tcPr>
            <w:tcW w:w="4066" w:type="dxa"/>
            <w:gridSpan w:val="4"/>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default" w:ascii="仿宋_GB2312" w:hAnsi="仿宋_GB2312" w:eastAsia="仿宋_GB2312" w:cs="仿宋_GB2312"/>
                <w:sz w:val="24"/>
                <w:szCs w:val="24"/>
                <w:lang w:val="en" w:eastAsia="zh-CN"/>
              </w:rPr>
            </w:pPr>
            <w:r>
              <w:rPr>
                <w:rFonts w:hint="default" w:ascii="仿宋_GB2312" w:hAnsi="仿宋_GB2312" w:eastAsia="仿宋_GB2312" w:cs="仿宋_GB2312"/>
                <w:sz w:val="24"/>
                <w:szCs w:val="24"/>
                <w:lang w:val="en" w:eastAsia="zh-CN"/>
              </w:rPr>
              <w:t>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1402"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职能职责概述</w:t>
            </w:r>
          </w:p>
        </w:tc>
        <w:tc>
          <w:tcPr>
            <w:tcW w:w="8003" w:type="dxa"/>
            <w:gridSpan w:val="8"/>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648"/>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州商务局为正处级全额拨款（行政）单位,事业单位法人证书统一社会信用代码114331000066864290，办公地址：湖南省湘西土家族苗族自治州吉首市世纪大道3号。局机关内设办公室（法规科）、财务科、招商联络科、承接产业转移科、市场运行调节科、市场体系建设科、流通业发展科、电子商务科、对外贸易科、对外经济合作科、口岸科、人事科、机关党委、离退休人员管理服务科。州商务局的主要职责：</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648"/>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贯彻执行国家和省国内外贸易、国际经济合作及区域经济合作发展战略、政策；起草我州国内外贸易、招商引资、承接产业转移、对外援助、对外投资和对外经济合作的地方性法规、政策措施和实施办法，研究经济全球化、区域经济合作、现代流通方式的发展趋势和流通体制改革，并提出建议。</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475"/>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（二）负责推进流通产业结构调整，指导流通企业改革，促进商贸服务业和社区商业发展，提出促进商贸中小企业发展的政策建议，推动流通标准化和连锁经营、</w:t>
            </w:r>
            <w:r>
              <w:rPr>
                <w:rFonts w:hint="eastAsia" w:ascii="仿宋_GB2312" w:hAnsi="仿宋_GB2312" w:eastAsia="仿宋_GB2312" w:cs="仿宋_GB2312"/>
                <w:color w:val="000000"/>
                <w:sz w:val="24"/>
                <w:szCs w:val="24"/>
              </w:rPr>
              <w:t>商业特许经营、</w:t>
            </w:r>
            <w:r>
              <w:rPr>
                <w:rFonts w:hint="eastAsia" w:ascii="仿宋_GB2312" w:hAnsi="仿宋_GB2312" w:eastAsia="仿宋_GB2312" w:cs="仿宋_GB2312"/>
                <w:sz w:val="24"/>
                <w:szCs w:val="24"/>
              </w:rPr>
              <w:t>物流配送、电子商务等现代流通方式的发展。</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648"/>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拟订全州国内贸易发展规划，促进城乡市场发展，研究提出引导国内外资金投向市场体系建设的政策建议，指导大宗产品批发市场规划和城市商业网点规划、商业体系建设工作，推进农村市场体系建设，组织实施农村现代流通网络工程。</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648"/>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（四）参与指导协调整顿和规范市场经济秩序工作，拟订规范市场秩序的政策；推动商务领域信用建设，指导商业信用销售，建立市场诚信公共服务平台；按有关规定对特殊流通行业进行监督</w:t>
            </w:r>
            <w:r>
              <w:rPr>
                <w:rStyle w:val="12"/>
                <w:rFonts w:hint="eastAsia" w:ascii="仿宋_GB2312" w:hAnsi="仿宋_GB2312" w:eastAsia="仿宋_GB2312" w:cs="仿宋_GB2312"/>
                <w:sz w:val="24"/>
                <w:szCs w:val="24"/>
              </w:rPr>
              <w: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648"/>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五）承担组织实施重要消费品市场调控和重要生产资料流通指导的责任，负责建立健全生活必需品市场供应应急管理机制，负责监测分析市场运行、商品供求状况，调查分析商品价格信息，进行预测预警和信息引导；按分工负责活体生猪商品储备和茧丝绸市场调控工作；按有关规定对成品油流通进行监督</w:t>
            </w:r>
            <w:r>
              <w:rPr>
                <w:rStyle w:val="12"/>
                <w:rFonts w:hint="eastAsia" w:ascii="仿宋_GB2312" w:hAnsi="仿宋_GB2312" w:eastAsia="仿宋_GB2312" w:cs="仿宋_GB2312"/>
                <w:sz w:val="24"/>
                <w:szCs w:val="24"/>
              </w:rPr>
              <w: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648"/>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六）贯彻执行国家进出口商品、加工贸易管理办法和进出口管理商品、技术目录，拟订促进外贸增长方式转变的政策措施，组织实施重要工业品、原材料和重要农产品进出口总量计划，会同有关部门协调大宗进出口商品，指导贸易促进活动和外贸促进体系建设。</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605"/>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（七）贯彻执行国家对外技术贸易、出口管制以及鼓励技术和成套设备进出口的贸易政策，推进进出口贸易标准化工作；依法监督技术引进、设备进口、国家限制出口技术的工作。</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605"/>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（八）牵头拟订服务贸易发展规划，并开展相关工作；会同有关部门制定促进服务出口、服务外包的规划、政策，并组织实施；推动服务外包平台建设。</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605"/>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九）贯彻执行我国多双边（含区域、自由贸易区）经贸合作战略和政策，推进我州与其他国家（地区）的经贸往来与投资贸易合作；牵头承担我州商务领域涉及世界贸易事务的相关工作，负责对外经济贸易协调工作。</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648"/>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（十）承担组织协调反倾销、反补贴、保障措施及其他与进出口公平贸易相关工作，协助开展对外贸易调查和产业损害调查，指导协调产业安全应对工作。</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648"/>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十一）宏观指导全州招商引资和承接产业转移工作，拟订并组织实施招商引资和承接产业转移政策；协调外商投资企业的设立及变更事项；协调重大外商投资项目的合同章程及法律特别规定的重大变更事项；依法监督检查外商投资企业执行有关法律法规规章、合同章程的情况，并协调解决有关问题；指导投资促进及全州外商投资企业审批、备案工作；规范招商引资活动；指导各级经济技术开发区的有关工作。</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648"/>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十二）拟订并组织实施对外经济合作政策；依法管理和监督对外承包工程、对外劳务合作等；拟订州内人员出境就业管理政策并组织实施，负责牵头外派劳务和境外就业人员的权益保护工作；拟订境外投资的管理办法和具体政策，协调州内企业对外投资开办企业（金融企业除外）工作。</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648"/>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（十三）贯彻执行国家对外援助政策和方案，协调管理参与监督全州对外援助项目；协调管理多双边对我州的无偿援助和赠款（不含财政合作项目外国政府及国际金融组织的赠款）等发展合作业务。</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648"/>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（十四）贯彻执行国家对香港、澳门特别行政区和台湾地区的经贸规划、政策，指导我州对</w:t>
            </w:r>
            <w:r>
              <w:rPr>
                <w:rFonts w:hint="eastAsia" w:ascii="仿宋_GB2312" w:hAnsi="仿宋_GB2312" w:eastAsia="仿宋_GB2312" w:cs="仿宋_GB2312"/>
                <w:spacing w:val="0"/>
                <w:sz w:val="24"/>
                <w:szCs w:val="24"/>
              </w:rPr>
              <w:t>港、澳、台地区贸易和经贸活动，协调港、澳、台商投资管理工作。</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634"/>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（十五）负责全州对外开放口岸的规划、申报及有关审批工作；协调管理全州口岸工作，推动建立大通关机制；协调配合打击走私相关工作。</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648"/>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（十六）承担会展业促进与管理工作责任，参与指导在本州境内举办的对外经济技术展览会工作。</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648"/>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（十七）承担全州商务系统统计及其信息发布工作，提供信息咨询服务，指导全州流通领域信息网络和电子商务建设。</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648"/>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（十八）指导协调石油工作；指导县市、湘西经济开发区管委会的商务、招资引资工作。</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605"/>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（十九）承办州人民政府交办的其他事项。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52" w:hRule="atLeast"/>
          <w:jc w:val="center"/>
        </w:trPr>
        <w:tc>
          <w:tcPr>
            <w:tcW w:w="1402"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年度主要</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工作内容</w:t>
            </w:r>
          </w:p>
        </w:tc>
        <w:tc>
          <w:tcPr>
            <w:tcW w:w="8003" w:type="dxa"/>
            <w:gridSpan w:val="8"/>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9"/>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right="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稳中求进工作总基调，贯彻落实省委、省政府“三高四新”战略和州委建设“三区两地”“五个湘西”发展思路，组织开展州级重点招商活动，大力推进产业项目招商；</w:t>
            </w:r>
          </w:p>
          <w:p>
            <w:pPr>
              <w:pStyle w:val="9"/>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right="0"/>
              <w:jc w:val="both"/>
              <w:textAlignment w:val="center"/>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color w:val="000000"/>
                <w:sz w:val="24"/>
                <w:szCs w:val="24"/>
                <w:lang w:val="en-US" w:eastAsia="zh-CN"/>
              </w:rPr>
              <w:t>努力扩大对外贸易，加快壮大外贸主体，参加进博会、中非经贸博览会、国际消费品博览会、口岸博览会等国内外重点会展，推广湘西优质产品，开拓外贸国际市场，保持外贸外资持续稳定增长；</w:t>
            </w:r>
          </w:p>
          <w:p>
            <w:pPr>
              <w:pStyle w:val="9"/>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right="0"/>
              <w:jc w:val="both"/>
              <w:textAlignment w:val="center"/>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color w:val="000000"/>
                <w:sz w:val="24"/>
                <w:szCs w:val="24"/>
                <w:lang w:val="en-US" w:eastAsia="zh-CN"/>
              </w:rPr>
              <w:t>搞活内贸流通，促进消费，重点培育限上商贸流通企业，加快电子商务发展；</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right="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4、优化环境，规范经营秩序，推动我州经济又好又快发展。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10" w:hRule="atLeast"/>
          <w:jc w:val="center"/>
        </w:trPr>
        <w:tc>
          <w:tcPr>
            <w:tcW w:w="1402"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年度部门（单位）总体运行情况及取得的成绩</w:t>
            </w:r>
          </w:p>
        </w:tc>
        <w:tc>
          <w:tcPr>
            <w:tcW w:w="8003" w:type="dxa"/>
            <w:gridSpan w:val="8"/>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right="0" w:firstLine="480" w:firstLineChars="200"/>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2022年</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在州委州政府的坚强领导下，</w:t>
            </w:r>
            <w:r>
              <w:rPr>
                <w:rFonts w:hint="eastAsia" w:ascii="仿宋_GB2312" w:hAnsi="仿宋_GB2312" w:eastAsia="仿宋_GB2312" w:cs="仿宋_GB2312"/>
                <w:sz w:val="24"/>
                <w:szCs w:val="24"/>
              </w:rPr>
              <w:t>州商务局深入</w:t>
            </w:r>
            <w:r>
              <w:rPr>
                <w:rFonts w:hint="eastAsia" w:ascii="仿宋_GB2312" w:hAnsi="仿宋_GB2312" w:eastAsia="仿宋_GB2312" w:cs="仿宋_GB2312"/>
                <w:sz w:val="24"/>
                <w:szCs w:val="24"/>
                <w:lang w:val="en-US" w:eastAsia="zh-CN"/>
              </w:rPr>
              <w:t>贯彻落实</w:t>
            </w:r>
            <w:r>
              <w:rPr>
                <w:rFonts w:hint="eastAsia" w:ascii="仿宋_GB2312" w:hAnsi="仿宋_GB2312" w:eastAsia="仿宋_GB2312" w:cs="仿宋_GB2312"/>
                <w:sz w:val="24"/>
                <w:szCs w:val="24"/>
              </w:rPr>
              <w:t>“三高四新”战略定位和使命任务，紧紧围绕“三区两地”发展定位和“五个湘西”主攻方向，突出“1351”工作主线，精准大</w:t>
            </w:r>
            <w:r>
              <w:rPr>
                <w:rFonts w:hint="eastAsia" w:ascii="仿宋_GB2312" w:hAnsi="仿宋_GB2312" w:eastAsia="仿宋_GB2312" w:cs="仿宋_GB2312"/>
                <w:sz w:val="24"/>
                <w:szCs w:val="24"/>
                <w:lang w:val="en-US" w:eastAsia="zh-CN"/>
              </w:rPr>
              <w:t>招商</w:t>
            </w:r>
            <w:r>
              <w:rPr>
                <w:rFonts w:hint="eastAsia" w:ascii="仿宋_GB2312" w:hAnsi="仿宋_GB2312" w:eastAsia="仿宋_GB2312" w:cs="仿宋_GB2312"/>
                <w:sz w:val="24"/>
                <w:szCs w:val="24"/>
              </w:rPr>
              <w:t>，培育大外贸，建设大物流，创优营商大环境，</w:t>
            </w:r>
            <w:r>
              <w:rPr>
                <w:rFonts w:hint="eastAsia" w:ascii="仿宋_GB2312" w:hAnsi="仿宋_GB2312" w:eastAsia="仿宋_GB2312" w:cs="仿宋_GB2312"/>
                <w:sz w:val="24"/>
                <w:szCs w:val="24"/>
                <w:lang w:val="en-US" w:eastAsia="zh-CN"/>
              </w:rPr>
              <w:t>全力推进</w:t>
            </w:r>
            <w:r>
              <w:rPr>
                <w:rFonts w:hint="eastAsia" w:ascii="仿宋_GB2312" w:hAnsi="仿宋_GB2312" w:eastAsia="仿宋_GB2312" w:cs="仿宋_GB2312"/>
                <w:sz w:val="24"/>
                <w:szCs w:val="24"/>
              </w:rPr>
              <w:t>商务和开放型经济发展。</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648"/>
              <w:textAlignment w:val="center"/>
              <w:rPr>
                <w:rFonts w:hint="eastAsia" w:ascii="仿宋_GB2312" w:hAnsi="仿宋_GB2312" w:eastAsia="仿宋_GB2312" w:cs="仿宋_GB2312"/>
                <w:sz w:val="24"/>
                <w:szCs w:val="24"/>
              </w:rPr>
            </w:pPr>
            <w:r>
              <w:rPr>
                <w:rFonts w:hint="eastAsia" w:ascii="仿宋_GB2312" w:hAnsi="仿宋_GB2312" w:eastAsia="仿宋_GB2312" w:cs="仿宋_GB2312"/>
                <w:color w:val="auto"/>
                <w:sz w:val="24"/>
                <w:szCs w:val="24"/>
              </w:rPr>
              <w:t>全</w:t>
            </w:r>
            <w:r>
              <w:rPr>
                <w:rFonts w:hint="eastAsia" w:ascii="仿宋_GB2312" w:hAnsi="仿宋_GB2312" w:eastAsia="仿宋_GB2312" w:cs="仿宋_GB2312"/>
                <w:sz w:val="24"/>
                <w:szCs w:val="24"/>
              </w:rPr>
              <w:t>州招商引资到位资金208.7亿元、增长22.7%。实际使用外资609.2万美元，增长99.7%。引进“三类500强”企业新投资项目14个，完成年度目标任务（5个）的280%，创历史新高。外贸进出口实现21.63亿元，增长28.4%，增幅排全省第</w:t>
            </w:r>
            <w:r>
              <w:rPr>
                <w:rFonts w:hint="eastAsia" w:ascii="仿宋_GB2312" w:hAnsi="仿宋_GB2312" w:eastAsia="仿宋_GB2312" w:cs="仿宋_GB2312"/>
                <w:sz w:val="24"/>
                <w:szCs w:val="24"/>
                <w:lang w:val="en-US"/>
              </w:rPr>
              <w:t>7位</w:t>
            </w:r>
            <w:r>
              <w:rPr>
                <w:rFonts w:hint="eastAsia" w:ascii="仿宋_GB2312" w:hAnsi="仿宋_GB2312" w:eastAsia="仿宋_GB2312" w:cs="仿宋_GB2312"/>
                <w:sz w:val="24"/>
                <w:szCs w:val="24"/>
              </w:rPr>
              <w:t>。社会消费品零售总额284亿元，增长2.1%。实现电子商务交易额160.8亿元，增长33.5%。各项指标稳中有升。</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648"/>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w:t>
            </w:r>
            <w:r>
              <w:rPr>
                <w:rFonts w:hint="eastAsia" w:ascii="仿宋_GB2312" w:hAnsi="仿宋_GB2312" w:eastAsia="仿宋_GB2312" w:cs="仿宋_GB2312"/>
                <w:sz w:val="24"/>
                <w:szCs w:val="24"/>
                <w:lang w:val="en-US" w:eastAsia="zh-CN"/>
              </w:rPr>
              <w:t>招商引资</w:t>
            </w:r>
            <w:r>
              <w:rPr>
                <w:rFonts w:hint="eastAsia" w:ascii="仿宋_GB2312" w:hAnsi="仿宋_GB2312" w:eastAsia="仿宋_GB2312" w:cs="仿宋_GB2312"/>
                <w:sz w:val="24"/>
                <w:szCs w:val="24"/>
              </w:rPr>
              <w:t>成效显著。始终把招商引资作为发展实体经济的第一选择</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出台《湘西自治州优势产业精准招商行动计划（2022-2025）》，积极开展驻点招商、节会招商、“云招商”系列活动</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累计新签约项目</w:t>
            </w: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lang w:val="en" w:eastAsia="zh-CN"/>
              </w:rPr>
              <w:t>16</w:t>
            </w:r>
            <w:r>
              <w:rPr>
                <w:rFonts w:hint="eastAsia" w:ascii="仿宋_GB2312" w:hAnsi="仿宋_GB2312" w:eastAsia="仿宋_GB2312" w:cs="仿宋_GB2312"/>
                <w:sz w:val="24"/>
                <w:szCs w:val="24"/>
              </w:rPr>
              <w:t>个、</w:t>
            </w:r>
            <w:r>
              <w:rPr>
                <w:rFonts w:hint="eastAsia" w:ascii="仿宋_GB2312" w:hAnsi="仿宋_GB2312" w:eastAsia="仿宋_GB2312" w:cs="仿宋_GB2312"/>
                <w:sz w:val="24"/>
                <w:szCs w:val="24"/>
                <w:lang w:val="en-US" w:eastAsia="zh-CN"/>
              </w:rPr>
              <w:t>合同</w:t>
            </w:r>
            <w:r>
              <w:rPr>
                <w:rFonts w:hint="eastAsia" w:ascii="仿宋_GB2312" w:hAnsi="仿宋_GB2312" w:eastAsia="仿宋_GB2312" w:cs="仿宋_GB2312"/>
                <w:sz w:val="24"/>
                <w:szCs w:val="24"/>
              </w:rPr>
              <w:t>引资</w:t>
            </w:r>
            <w:r>
              <w:rPr>
                <w:rFonts w:hint="eastAsia" w:ascii="仿宋_GB2312" w:hAnsi="仿宋_GB2312" w:eastAsia="仿宋_GB2312" w:cs="仿宋_GB2312"/>
                <w:sz w:val="24"/>
                <w:szCs w:val="24"/>
                <w:lang w:val="en"/>
              </w:rPr>
              <w:t>1133</w:t>
            </w:r>
            <w:r>
              <w:rPr>
                <w:rFonts w:hint="eastAsia" w:ascii="仿宋_GB2312" w:hAnsi="仿宋_GB2312" w:eastAsia="仿宋_GB2312" w:cs="仿宋_GB2312"/>
                <w:sz w:val="24"/>
                <w:szCs w:val="24"/>
              </w:rPr>
              <w:t>亿元。州委书记虢正贵亲自对接重要客商、洽谈重大项目，</w:t>
            </w:r>
            <w:r>
              <w:rPr>
                <w:rFonts w:hint="eastAsia" w:ascii="仿宋_GB2312" w:hAnsi="仿宋_GB2312" w:eastAsia="仿宋_GB2312" w:cs="仿宋_GB2312"/>
                <w:sz w:val="24"/>
                <w:szCs w:val="24"/>
                <w:lang w:val="en-US" w:eastAsia="zh-CN"/>
              </w:rPr>
              <w:t>促成</w:t>
            </w:r>
            <w:r>
              <w:rPr>
                <w:rFonts w:hint="eastAsia" w:ascii="仿宋_GB2312" w:hAnsi="仿宋_GB2312" w:eastAsia="仿宋_GB2312" w:cs="仿宋_GB2312"/>
                <w:sz w:val="24"/>
                <w:szCs w:val="24"/>
              </w:rPr>
              <w:t>与中国长江三峡集团湖南分公司进行战略合作。</w:t>
            </w:r>
            <w:r>
              <w:rPr>
                <w:rFonts w:hint="eastAsia" w:ascii="仿宋_GB2312" w:hAnsi="仿宋_GB2312" w:eastAsia="仿宋_GB2312" w:cs="仿宋_GB2312"/>
                <w:sz w:val="24"/>
                <w:szCs w:val="24"/>
                <w:lang w:val="en-US" w:eastAsia="zh-CN"/>
              </w:rPr>
              <w:t>分管副州长马碧多次</w:t>
            </w:r>
            <w:r>
              <w:rPr>
                <w:rFonts w:hint="eastAsia" w:ascii="仿宋_GB2312" w:hAnsi="仿宋_GB2312" w:eastAsia="仿宋_GB2312" w:cs="仿宋_GB2312"/>
                <w:sz w:val="24"/>
                <w:szCs w:val="24"/>
              </w:rPr>
              <w:t>带队赴粤港澳大湾区</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长三角等地招商</w:t>
            </w:r>
            <w:r>
              <w:rPr>
                <w:rFonts w:hint="eastAsia" w:ascii="仿宋_GB2312" w:hAnsi="仿宋_GB2312" w:eastAsia="仿宋_GB2312" w:cs="仿宋_GB2312"/>
                <w:sz w:val="24"/>
                <w:szCs w:val="24"/>
              </w:rPr>
              <w:t>，拜访华润集团、深圳湖南商会等企业、商协会</w:t>
            </w:r>
            <w:r>
              <w:rPr>
                <w:rFonts w:hint="eastAsia" w:ascii="仿宋_GB2312" w:hAnsi="仿宋_GB2312" w:eastAsia="仿宋_GB2312" w:cs="仿宋_GB2312"/>
                <w:sz w:val="24"/>
                <w:szCs w:val="24"/>
                <w:lang w:val="en-US" w:eastAsia="zh-CN"/>
              </w:rPr>
              <w:t>50余</w:t>
            </w:r>
            <w:r>
              <w:rPr>
                <w:rFonts w:hint="eastAsia" w:ascii="仿宋_GB2312" w:hAnsi="仿宋_GB2312" w:eastAsia="仿宋_GB2312" w:cs="仿宋_GB2312"/>
                <w:sz w:val="24"/>
                <w:szCs w:val="24"/>
              </w:rPr>
              <w:t>家，对接花垣十八洞沉浸式文旅体验中心等</w:t>
            </w:r>
            <w:r>
              <w:rPr>
                <w:rFonts w:hint="eastAsia" w:ascii="仿宋_GB2312" w:hAnsi="仿宋_GB2312" w:eastAsia="仿宋_GB2312" w:cs="仿宋_GB2312"/>
                <w:sz w:val="24"/>
                <w:szCs w:val="24"/>
                <w:lang w:val="en-US" w:eastAsia="zh-CN"/>
              </w:rPr>
              <w:t>40多</w:t>
            </w:r>
            <w:r>
              <w:rPr>
                <w:rFonts w:hint="eastAsia" w:ascii="仿宋_GB2312" w:hAnsi="仿宋_GB2312" w:eastAsia="仿宋_GB2312" w:cs="仿宋_GB2312"/>
                <w:sz w:val="24"/>
                <w:szCs w:val="24"/>
              </w:rPr>
              <w:t>个项目。在全省率先制定湘商回归工作方案、全民招商倡议短视频，网络观看逾1000万人次，营造了浓厚的招商氛围。成功引进三峡集团、正威集团、大唐西市集团、快手集团等一批战略投资者。大力实施“湘商回归”行动，湘商投资到位资金64.94亿元，占全州招商引资到位资金总量的31.1%。</w:t>
            </w:r>
            <w:r>
              <w:rPr>
                <w:rFonts w:hint="eastAsia" w:ascii="仿宋_GB2312" w:hAnsi="仿宋_GB2312" w:eastAsia="仿宋_GB2312" w:cs="仿宋_GB2312"/>
                <w:sz w:val="24"/>
                <w:szCs w:val="24"/>
                <w:lang w:eastAsia="zh-CN"/>
              </w:rPr>
              <w:t>全年</w:t>
            </w:r>
            <w:r>
              <w:rPr>
                <w:rFonts w:hint="eastAsia" w:ascii="仿宋_GB2312" w:hAnsi="仿宋_GB2312" w:eastAsia="仿宋_GB2312" w:cs="仿宋_GB2312"/>
                <w:sz w:val="24"/>
                <w:szCs w:val="24"/>
              </w:rPr>
              <w:t>全州省外境内到位资金完成</w:t>
            </w:r>
            <w:r>
              <w:rPr>
                <w:rFonts w:hint="eastAsia" w:ascii="仿宋_GB2312" w:hAnsi="仿宋_GB2312" w:eastAsia="仿宋_GB2312" w:cs="仿宋_GB2312"/>
                <w:sz w:val="24"/>
                <w:szCs w:val="24"/>
                <w:lang w:val="en-US"/>
              </w:rPr>
              <w:t>208.7</w:t>
            </w:r>
            <w:r>
              <w:rPr>
                <w:rFonts w:hint="eastAsia" w:ascii="仿宋_GB2312" w:hAnsi="仿宋_GB2312" w:eastAsia="仿宋_GB2312" w:cs="仿宋_GB2312"/>
                <w:sz w:val="24"/>
                <w:szCs w:val="24"/>
              </w:rPr>
              <w:t>亿元，完成年度目标任务（</w:t>
            </w:r>
            <w:r>
              <w:rPr>
                <w:rFonts w:hint="eastAsia" w:ascii="仿宋_GB2312" w:hAnsi="仿宋_GB2312" w:eastAsia="仿宋_GB2312" w:cs="仿宋_GB2312"/>
                <w:sz w:val="24"/>
                <w:szCs w:val="24"/>
                <w:lang w:val="en-US"/>
              </w:rPr>
              <w:t>240亿元）的102.3%，</w:t>
            </w:r>
            <w:r>
              <w:rPr>
                <w:rFonts w:hint="eastAsia" w:ascii="仿宋_GB2312" w:hAnsi="仿宋_GB2312" w:eastAsia="仿宋_GB2312" w:cs="仿宋_GB2312"/>
                <w:sz w:val="24"/>
                <w:szCs w:val="24"/>
              </w:rPr>
              <w:t>同比增长</w:t>
            </w:r>
            <w:r>
              <w:rPr>
                <w:rFonts w:hint="eastAsia" w:ascii="仿宋_GB2312" w:hAnsi="仿宋_GB2312" w:eastAsia="仿宋_GB2312" w:cs="仿宋_GB2312"/>
                <w:sz w:val="24"/>
                <w:szCs w:val="24"/>
                <w:lang w:val="en-US"/>
              </w:rPr>
              <w:t>22.7</w:t>
            </w:r>
            <w:r>
              <w:rPr>
                <w:rFonts w:hint="eastAsia" w:ascii="仿宋_GB2312" w:hAnsi="仿宋_GB2312" w:eastAsia="仿宋_GB2312" w:cs="仿宋_GB2312"/>
                <w:sz w:val="24"/>
                <w:szCs w:val="24"/>
              </w:rPr>
              <w:t>%。其中湘商回湘投资实际到位资金</w:t>
            </w:r>
            <w:r>
              <w:rPr>
                <w:rFonts w:hint="eastAsia" w:ascii="仿宋_GB2312" w:hAnsi="仿宋_GB2312" w:eastAsia="仿宋_GB2312" w:cs="仿宋_GB2312"/>
                <w:sz w:val="24"/>
                <w:szCs w:val="24"/>
                <w:lang w:val="en-US" w:eastAsia="zh-CN"/>
              </w:rPr>
              <w:t>64.9</w:t>
            </w:r>
            <w:r>
              <w:rPr>
                <w:rFonts w:hint="eastAsia" w:ascii="仿宋_GB2312" w:hAnsi="仿宋_GB2312" w:eastAsia="仿宋_GB2312" w:cs="仿宋_GB2312"/>
                <w:sz w:val="24"/>
                <w:szCs w:val="24"/>
              </w:rPr>
              <w:t>亿元</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完成年度任务（40亿元）的1</w:t>
            </w:r>
            <w:r>
              <w:rPr>
                <w:rFonts w:hint="eastAsia" w:ascii="仿宋_GB2312" w:hAnsi="仿宋_GB2312" w:eastAsia="仿宋_GB2312" w:cs="仿宋_GB2312"/>
                <w:sz w:val="24"/>
                <w:szCs w:val="24"/>
                <w:lang w:val="en-US"/>
              </w:rPr>
              <w:t>62</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rPr>
              <w:t>3</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引进“三类500强”企业新投资项目</w:t>
            </w:r>
            <w:r>
              <w:rPr>
                <w:rFonts w:hint="eastAsia" w:ascii="仿宋_GB2312" w:hAnsi="仿宋_GB2312" w:eastAsia="仿宋_GB2312" w:cs="仿宋_GB2312"/>
                <w:sz w:val="24"/>
                <w:szCs w:val="24"/>
                <w:lang w:val="en-US"/>
              </w:rPr>
              <w:t>14</w:t>
            </w:r>
            <w:r>
              <w:rPr>
                <w:rFonts w:hint="eastAsia" w:ascii="仿宋_GB2312" w:hAnsi="仿宋_GB2312" w:eastAsia="仿宋_GB2312" w:cs="仿宋_GB2312"/>
                <w:sz w:val="24"/>
                <w:szCs w:val="24"/>
              </w:rPr>
              <w:t>个，完成年度任务的2</w:t>
            </w:r>
            <w:r>
              <w:rPr>
                <w:rFonts w:hint="eastAsia" w:ascii="仿宋_GB2312" w:hAnsi="仿宋_GB2312" w:eastAsia="仿宋_GB2312" w:cs="仿宋_GB2312"/>
                <w:sz w:val="24"/>
                <w:szCs w:val="24"/>
                <w:lang w:val="en-US"/>
              </w:rPr>
              <w:t>8</w:t>
            </w:r>
            <w:r>
              <w:rPr>
                <w:rFonts w:hint="eastAsia" w:ascii="仿宋_GB2312" w:hAnsi="仿宋_GB2312" w:eastAsia="仿宋_GB2312" w:cs="仿宋_GB2312"/>
                <w:sz w:val="24"/>
                <w:szCs w:val="24"/>
              </w:rPr>
              <w:t>0%，</w:t>
            </w:r>
            <w:r>
              <w:rPr>
                <w:rFonts w:hint="eastAsia" w:ascii="仿宋_GB2312" w:hAnsi="仿宋_GB2312" w:eastAsia="仿宋_GB2312" w:cs="仿宋_GB2312"/>
                <w:sz w:val="24"/>
                <w:szCs w:val="24"/>
                <w:lang w:val="en-US"/>
              </w:rPr>
              <w:t>其中</w:t>
            </w:r>
            <w:r>
              <w:rPr>
                <w:rFonts w:hint="eastAsia" w:ascii="仿宋_GB2312" w:hAnsi="仿宋_GB2312" w:eastAsia="仿宋_GB2312" w:cs="仿宋_GB2312"/>
                <w:sz w:val="24"/>
                <w:szCs w:val="24"/>
              </w:rPr>
              <w:t>引进“</w:t>
            </w:r>
            <w:r>
              <w:rPr>
                <w:rFonts w:hint="eastAsia" w:ascii="仿宋_GB2312" w:hAnsi="仿宋_GB2312" w:eastAsia="仿宋_GB2312" w:cs="仿宋_GB2312"/>
                <w:sz w:val="24"/>
                <w:szCs w:val="24"/>
                <w:lang w:val="en-US"/>
              </w:rPr>
              <w:t>2021胡润世界500强</w:t>
            </w:r>
            <w:r>
              <w:rPr>
                <w:rFonts w:hint="eastAsia" w:ascii="仿宋_GB2312" w:hAnsi="仿宋_GB2312" w:eastAsia="仿宋_GB2312" w:cs="仿宋_GB2312"/>
                <w:sz w:val="24"/>
                <w:szCs w:val="24"/>
              </w:rPr>
              <w:t>”快手公司首次落户湖南。</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648"/>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消费市场回暖加速。聚焦“政策红利”“制度红利”释放主动作为，激活消费市场，消费回暖加速，消费质量加快提升、规模不断扩大。制定《“乐享消费·幸福湘西”2022湘西州促消费系列活动方案》《2022年湘西州商务系统真抓实干全面促进消费工作实施方案》，举办贯穿全年、覆盖城乡的12大促消费活动，按照“季季有主题、月月有活动、期期有亮点”的思路，消费回暖加快</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全年，全州社会消费品零售总额284亿元，增长2.1%。今年以来，举办了大车展暨老字号农特产品展销会、“6·18”消费购物节、雪花啤酒·湘西首届摇滚音乐节等系列促消费活动，全力拉动住房、汽车、家电等大宗商品消费。9月16日，举办“乐享消费·幸福湘西”2022湘西州促消费秋季活动，同步开展第三届民族餐饮大赛暨政府消费券发放活动，发放政府消费券710万元，为全省促消费资金安排最多的市州，充分发挥“小资金撬动大消费”作用。截至目前，累计核销消费券430.7万元，直接带动消费1776万元，商家销售额环比提高20%左右，参与商家销售总额预计超5亿元，预计全年湘西州扩大消费8亿元左右，远超过预期</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杠杆撬动作用明显。</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648"/>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（三）外贸</w:t>
            </w:r>
            <w:r>
              <w:rPr>
                <w:rFonts w:hint="eastAsia" w:ascii="仿宋_GB2312" w:hAnsi="仿宋_GB2312" w:eastAsia="仿宋_GB2312" w:cs="仿宋_GB2312"/>
                <w:sz w:val="24"/>
                <w:szCs w:val="24"/>
                <w:lang w:val="en-US" w:eastAsia="zh-CN"/>
              </w:rPr>
              <w:t>发展克难前行</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全力克服疫情散发等多重困难形势，</w:t>
            </w:r>
            <w:r>
              <w:rPr>
                <w:rFonts w:hint="eastAsia" w:ascii="仿宋_GB2312" w:hAnsi="仿宋_GB2312" w:eastAsia="仿宋_GB2312" w:cs="仿宋_GB2312"/>
                <w:sz w:val="24"/>
                <w:szCs w:val="24"/>
              </w:rPr>
              <w:t>扎实推进稳外贸“四个一”活动，累计兑现外贸奖补资金589万元；深入开展“百干联百企”“破零倍增”行动，</w:t>
            </w:r>
            <w:r>
              <w:rPr>
                <w:rFonts w:hint="eastAsia" w:ascii="仿宋_GB2312" w:hAnsi="仿宋_GB2312" w:eastAsia="仿宋_GB2312" w:cs="仿宋_GB2312"/>
                <w:sz w:val="24"/>
                <w:szCs w:val="24"/>
                <w:lang w:eastAsia="zh-CN"/>
              </w:rPr>
              <w:t>全年全州</w:t>
            </w:r>
            <w:r>
              <w:rPr>
                <w:rFonts w:hint="eastAsia" w:ascii="仿宋_GB2312" w:hAnsi="仿宋_GB2312" w:eastAsia="仿宋_GB2312" w:cs="仿宋_GB2312"/>
                <w:sz w:val="24"/>
                <w:szCs w:val="24"/>
              </w:rPr>
              <w:t>外贸进出口实现21.63亿元，增长28.4%，增幅排全省第</w:t>
            </w:r>
            <w:r>
              <w:rPr>
                <w:rFonts w:hint="eastAsia" w:ascii="仿宋_GB2312" w:hAnsi="仿宋_GB2312" w:eastAsia="仿宋_GB2312" w:cs="仿宋_GB2312"/>
                <w:sz w:val="24"/>
                <w:szCs w:val="24"/>
                <w:lang w:val="en-US"/>
              </w:rPr>
              <w:t>7位</w:t>
            </w:r>
            <w:r>
              <w:rPr>
                <w:rFonts w:hint="eastAsia" w:ascii="仿宋_GB2312" w:hAnsi="仿宋_GB2312" w:eastAsia="仿宋_GB2312" w:cs="仿宋_GB2312"/>
                <w:sz w:val="24"/>
                <w:szCs w:val="24"/>
              </w:rPr>
              <w:t>。始终把外贸进出口作为发展开放型经济的重要引擎来抓，扎实推进稳外贸“四个一”和“破零倍增”行动，全州29家企业实现“破零倍增”。首次通过中欧班列发货，“一带一路”沿线国家进出口增长134.1%。加工贸易完成492万元，实现了“零突破”。积极申报湘西高新区为中国(湖南)自由贸易试验区协同联动区，加快推进以园区为主体的外贸产业基地集群发展。</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648"/>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四</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助企纾困精准高效</w:t>
            </w:r>
            <w:r>
              <w:rPr>
                <w:rFonts w:hint="eastAsia" w:ascii="仿宋_GB2312" w:hAnsi="仿宋_GB2312" w:eastAsia="仿宋_GB2312" w:cs="仿宋_GB2312"/>
                <w:sz w:val="24"/>
                <w:szCs w:val="24"/>
              </w:rPr>
              <w:t>。制定《湘西州商务局优化营商环境工作方案》，列出10大任务清单，压茬式、一体化推进，共计精简缩减办事材料14份，压缩承诺办理时间67天，极大提高了服务群众、企业办事效率。</w:t>
            </w:r>
            <w:r>
              <w:rPr>
                <w:rFonts w:hint="eastAsia" w:ascii="仿宋_GB2312" w:hAnsi="仿宋_GB2312" w:eastAsia="仿宋_GB2312" w:cs="仿宋_GB2312"/>
                <w:sz w:val="24"/>
                <w:szCs w:val="24"/>
                <w:lang w:val="en-US" w:eastAsia="zh-CN"/>
              </w:rPr>
              <w:t>针对疫情下企业发展困境，配合梳理近3年来湘西州委州政府出台的惠企优惠政策，形成</w:t>
            </w:r>
            <w:r>
              <w:rPr>
                <w:rFonts w:hint="eastAsia" w:ascii="仿宋_GB2312" w:hAnsi="仿宋_GB2312" w:eastAsia="仿宋_GB2312" w:cs="仿宋_GB2312"/>
                <w:sz w:val="24"/>
                <w:szCs w:val="24"/>
              </w:rPr>
              <w:t>《湘西自治州招商引资优惠政策汇编》</w:t>
            </w:r>
            <w:r>
              <w:rPr>
                <w:rFonts w:hint="eastAsia" w:ascii="仿宋_GB2312" w:hAnsi="仿宋_GB2312" w:eastAsia="仿宋_GB2312" w:cs="仿宋_GB2312"/>
                <w:sz w:val="24"/>
                <w:szCs w:val="24"/>
                <w:lang w:val="en-US" w:eastAsia="zh-CN"/>
              </w:rPr>
              <w:t>，成为全州干部联企“送政策、解难题、优服务”行动的必备“口袋书”。</w:t>
            </w:r>
            <w:r>
              <w:rPr>
                <w:rFonts w:hint="eastAsia" w:ascii="仿宋_GB2312" w:hAnsi="仿宋_GB2312" w:eastAsia="仿宋_GB2312" w:cs="仿宋_GB2312"/>
                <w:sz w:val="24"/>
                <w:szCs w:val="24"/>
              </w:rPr>
              <w:t>率先在全省商务系统印发《全州商务系统“百名干部联百企”排忧解难促发展行动工作方案》，100名商务干部联系133家企业，积极为全州外贸进出口、商贸流通入规限上和成长性企业等提供“一对一”保姆式服务，走访</w:t>
            </w:r>
            <w:r>
              <w:rPr>
                <w:rFonts w:hint="eastAsia" w:ascii="仿宋_GB2312" w:hAnsi="仿宋_GB2312" w:eastAsia="仿宋_GB2312" w:cs="仿宋_GB2312"/>
                <w:sz w:val="24"/>
                <w:szCs w:val="24"/>
                <w:lang w:val="en-US" w:eastAsia="zh-CN"/>
              </w:rPr>
              <w:t>服务</w:t>
            </w:r>
            <w:r>
              <w:rPr>
                <w:rFonts w:hint="eastAsia" w:ascii="仿宋_GB2312" w:hAnsi="仿宋_GB2312" w:eastAsia="仿宋_GB2312" w:cs="仿宋_GB2312"/>
                <w:sz w:val="24"/>
                <w:szCs w:val="24"/>
              </w:rPr>
              <w:t>企业</w:t>
            </w: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rPr>
              <w:t>00多家</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次</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，为丰达合金、洁宝日化等企业协调解决原材料道路运输、出口信用保险等实际问题困难</w:t>
            </w:r>
            <w:r>
              <w:rPr>
                <w:rFonts w:hint="eastAsia" w:ascii="仿宋_GB2312" w:hAnsi="仿宋_GB2312" w:eastAsia="仿宋_GB2312" w:cs="仿宋_GB2312"/>
                <w:sz w:val="24"/>
                <w:szCs w:val="24"/>
                <w:lang w:val="en-US" w:eastAsia="zh-CN"/>
              </w:rPr>
              <w:t>139</w:t>
            </w:r>
            <w:r>
              <w:rPr>
                <w:rFonts w:hint="eastAsia" w:ascii="仿宋_GB2312" w:hAnsi="仿宋_GB2312" w:eastAsia="仿宋_GB2312" w:cs="仿宋_GB2312"/>
                <w:sz w:val="24"/>
                <w:szCs w:val="24"/>
              </w:rPr>
              <w:t>个，</w:t>
            </w:r>
            <w:r>
              <w:rPr>
                <w:rFonts w:hint="eastAsia" w:ascii="仿宋_GB2312" w:hAnsi="仿宋_GB2312" w:eastAsia="仿宋_GB2312" w:cs="仿宋_GB2312"/>
                <w:sz w:val="24"/>
                <w:szCs w:val="24"/>
                <w:lang w:eastAsia="zh-CN"/>
              </w:rPr>
              <w:t>兑现安排支持企业发展奖补资金</w:t>
            </w:r>
            <w:r>
              <w:rPr>
                <w:rFonts w:hint="eastAsia" w:ascii="仿宋_GB2312" w:hAnsi="仿宋_GB2312" w:eastAsia="仿宋_GB2312" w:cs="仿宋_GB2312"/>
                <w:sz w:val="24"/>
                <w:szCs w:val="24"/>
                <w:lang w:val="en-US" w:eastAsia="zh-CN"/>
              </w:rPr>
              <w:t>1160万元，积极有效助企纾困解难题。</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648"/>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五</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安全生产稳定向好。高效统筹疫情防控和发展安全工作，印发《2022年全州商贸领域安全生产工作要点》等文件，建立“月调度、季通报、半年一排名、年终一考核”督导推进机制，出动250余人次按季对全州商贸领域安全生产、疫情防控、物资保供等工作进行随机抽查督导，交办整改各类安全隐患问题42个。出台《湘西州成品油市场“打非治违”百日行动工作方案》，在全省率先开展“六大专项整治行动”，列出商务、公安、市场监管等相关职能部门成品油市场“打非治违”职责清单，全州出动执法检查人员1670余人次，查处问题单位67个，罚金、补缴税款375.4万元；查处1700余万元大额虚增发票行为1起、抓获犯罪嫌疑人3人。面对突如其来的疫情，及时启动物资保障供应预案，调度重点保供企业统筹做好生活必需品保供稳价工作，组织武陵缘批发市场、吉首佳惠等20家商贸流通企业为龙山县、凤凰县捐赠总价值约110万元、20余车的生活必需品物资，全力守好疫情防控民生关。</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648"/>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六</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党的建设成效凸显。深入贯彻落实党的二十大精神，全面推进具有商务特色的党建品牌、党建服务、党建亮点工作，引领推动商务各项工作开展。采取“原文读、专家讲、党课授、分组研、分享学、实践行”六个一模式，学懂弄通做实党的二十大精神。聚焦“当年有起色、五年大改观、十五年化风成俗”，列出政治建设等4个大方面13项具体工作任务，全力打造“清廉商务”品牌。统筹老干、工青妇等各项工作，高规格组织开展了“七一”表彰、“红心向党”汇演、“寿星乐·夕阳美”重阳节、篮球赛等系列活动，丰富干部职工生活，全面展现商务良好形象。</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648"/>
              <w:textAlignment w:val="center"/>
              <w:rPr>
                <w:rFonts w:hint="eastAsia" w:ascii="仿宋_GB2312" w:hAnsi="仿宋_GB2312" w:eastAsia="仿宋_GB2312" w:cs="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2" w:hRule="atLeast"/>
          <w:jc w:val="center"/>
        </w:trPr>
        <w:tc>
          <w:tcPr>
            <w:tcW w:w="9405" w:type="dxa"/>
            <w:gridSpan w:val="9"/>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3108" w:firstLineChars="1106"/>
              <w:jc w:val="left"/>
              <w:textAlignment w:val="center"/>
              <w:rPr>
                <w:rFonts w:hint="eastAsia" w:ascii="宋体" w:hAnsi="宋体" w:eastAsia="宋体" w:cs="宋体"/>
                <w:sz w:val="21"/>
                <w:szCs w:val="21"/>
              </w:rPr>
            </w:pPr>
            <w:r>
              <w:rPr>
                <w:rFonts w:hint="eastAsia" w:ascii="宋体" w:hAnsi="宋体" w:eastAsia="宋体" w:cs="宋体"/>
                <w:b/>
                <w:bCs/>
                <w:sz w:val="28"/>
                <w:szCs w:val="28"/>
              </w:rPr>
              <w:t>二、部门（单位）收支情况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32" w:hRule="atLeast"/>
          <w:jc w:val="center"/>
        </w:trPr>
        <w:tc>
          <w:tcPr>
            <w:tcW w:w="9405" w:type="dxa"/>
            <w:gridSpan w:val="9"/>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3374" w:firstLineChars="1406"/>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年度收入情况（万元）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402" w:type="dxa"/>
            <w:vMerge w:val="restart"/>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机构名称</w:t>
            </w:r>
          </w:p>
        </w:tc>
        <w:tc>
          <w:tcPr>
            <w:tcW w:w="1245" w:type="dxa"/>
            <w:vMerge w:val="restart"/>
            <w:tcBorders>
              <w:top w:val="single" w:color="000001" w:sz="4" w:space="0"/>
              <w:left w:val="single" w:color="000001" w:sz="4" w:space="0"/>
              <w:bottom w:val="single" w:color="000001" w:sz="4" w:space="0"/>
              <w:right w:val="single" w:color="00000A" w:sz="4" w:space="0"/>
            </w:tcBorders>
            <w:shd w:val="clear" w:color="auto" w:fill="auto"/>
            <w:tcMar>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right="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收入合计</w:t>
            </w:r>
          </w:p>
        </w:tc>
        <w:tc>
          <w:tcPr>
            <w:tcW w:w="6758" w:type="dxa"/>
            <w:gridSpan w:val="7"/>
            <w:tcBorders>
              <w:top w:val="single" w:color="000001" w:sz="4" w:space="0"/>
              <w:left w:val="single" w:color="00000A" w:sz="4" w:space="0"/>
              <w:bottom w:val="single" w:color="000001" w:sz="4" w:space="0"/>
              <w:right w:val="single" w:color="000001" w:sz="4" w:space="0"/>
            </w:tcBorders>
            <w:shd w:val="clear" w:color="auto" w:fill="auto"/>
            <w:tcMar>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1696" w:firstLineChars="707"/>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其中：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402" w:type="dxa"/>
            <w:vMerge w:val="continue"/>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rPr>
                <w:rFonts w:hint="eastAsia" w:ascii="仿宋_GB2312" w:hAnsi="仿宋_GB2312" w:eastAsia="仿宋_GB2312" w:cs="仿宋_GB2312"/>
                <w:sz w:val="24"/>
                <w:szCs w:val="24"/>
              </w:rPr>
            </w:pPr>
          </w:p>
        </w:tc>
        <w:tc>
          <w:tcPr>
            <w:tcW w:w="1245" w:type="dxa"/>
            <w:vMerge w:val="continue"/>
            <w:tcBorders>
              <w:top w:val="single" w:color="000001" w:sz="4" w:space="0"/>
              <w:left w:val="single" w:color="000001" w:sz="4" w:space="0"/>
              <w:bottom w:val="single" w:color="000001" w:sz="4" w:space="0"/>
              <w:right w:val="single" w:color="00000A" w:sz="4" w:space="0"/>
            </w:tcBorders>
            <w:shd w:val="clear" w:color="auto" w:fill="auto"/>
            <w:tcMar>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648"/>
              <w:jc w:val="left"/>
              <w:textAlignment w:val="center"/>
              <w:rPr>
                <w:rFonts w:hint="eastAsia" w:ascii="仿宋_GB2312" w:hAnsi="仿宋_GB2312" w:eastAsia="仿宋_GB2312" w:cs="仿宋_GB2312"/>
                <w:sz w:val="24"/>
                <w:szCs w:val="24"/>
              </w:rPr>
            </w:pPr>
          </w:p>
        </w:tc>
        <w:tc>
          <w:tcPr>
            <w:tcW w:w="961" w:type="dxa"/>
            <w:tcBorders>
              <w:top w:val="single" w:color="000001" w:sz="4" w:space="0"/>
              <w:left w:val="single" w:color="00000A" w:sz="4" w:space="0"/>
              <w:bottom w:val="single" w:color="000001" w:sz="4" w:space="0"/>
              <w:right w:val="single" w:color="000001" w:sz="4" w:space="0"/>
            </w:tcBorders>
            <w:shd w:val="clear" w:color="auto" w:fill="auto"/>
            <w:tcMar>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right="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上年结转</w:t>
            </w:r>
          </w:p>
        </w:tc>
        <w:tc>
          <w:tcPr>
            <w:tcW w:w="893"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right="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公共财</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right="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政拨款</w:t>
            </w:r>
          </w:p>
        </w:tc>
        <w:tc>
          <w:tcPr>
            <w:tcW w:w="838"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right="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政府基金拨款</w:t>
            </w:r>
          </w:p>
        </w:tc>
        <w:tc>
          <w:tcPr>
            <w:tcW w:w="941"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right="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纳入专户管理的非税收入拨款</w:t>
            </w:r>
          </w:p>
        </w:tc>
        <w:tc>
          <w:tcPr>
            <w:tcW w:w="3125" w:type="dxa"/>
            <w:gridSpan w:val="3"/>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right="0" w:firstLine="1200" w:firstLineChars="50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90" w:hRule="atLeast"/>
          <w:jc w:val="center"/>
        </w:trPr>
        <w:tc>
          <w:tcPr>
            <w:tcW w:w="1402"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局机关及二级机构汇总</w:t>
            </w:r>
          </w:p>
        </w:tc>
        <w:tc>
          <w:tcPr>
            <w:tcW w:w="1245" w:type="dxa"/>
            <w:tcBorders>
              <w:top w:val="single" w:color="000001" w:sz="4" w:space="0"/>
              <w:left w:val="single" w:color="000001" w:sz="4" w:space="0"/>
              <w:bottom w:val="single" w:color="000001" w:sz="4" w:space="0"/>
              <w:right w:val="single" w:color="00000A"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default"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4483.73</w:t>
            </w:r>
          </w:p>
        </w:tc>
        <w:tc>
          <w:tcPr>
            <w:tcW w:w="961" w:type="dxa"/>
            <w:tcBorders>
              <w:top w:val="single" w:color="000001" w:sz="4" w:space="0"/>
              <w:left w:val="single" w:color="00000A"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default"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92.47</w:t>
            </w:r>
          </w:p>
        </w:tc>
        <w:tc>
          <w:tcPr>
            <w:tcW w:w="893"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default"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4184.87</w:t>
            </w:r>
          </w:p>
        </w:tc>
        <w:tc>
          <w:tcPr>
            <w:tcW w:w="838"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0</w:t>
            </w:r>
          </w:p>
        </w:tc>
        <w:tc>
          <w:tcPr>
            <w:tcW w:w="941"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default"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181.41</w:t>
            </w:r>
          </w:p>
        </w:tc>
        <w:tc>
          <w:tcPr>
            <w:tcW w:w="3125" w:type="dxa"/>
            <w:gridSpan w:val="3"/>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24.97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2" w:hRule="atLeast"/>
          <w:jc w:val="center"/>
        </w:trPr>
        <w:tc>
          <w:tcPr>
            <w:tcW w:w="1402"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1、局机关</w:t>
            </w:r>
          </w:p>
        </w:tc>
        <w:tc>
          <w:tcPr>
            <w:tcW w:w="1245" w:type="dxa"/>
            <w:tcBorders>
              <w:top w:val="single" w:color="000001" w:sz="4" w:space="0"/>
              <w:left w:val="single" w:color="000001" w:sz="4" w:space="0"/>
              <w:bottom w:val="single" w:color="000001" w:sz="4" w:space="0"/>
              <w:right w:val="single" w:color="00000A"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default" w:ascii="仿宋_GB2312" w:hAnsi="仿宋_GB2312" w:eastAsia="仿宋_GB2312" w:cs="仿宋_GB2312"/>
                <w:sz w:val="24"/>
                <w:szCs w:val="24"/>
                <w:highlight w:val="none"/>
                <w:lang w:val="en-US"/>
              </w:rPr>
            </w:pPr>
            <w:r>
              <w:rPr>
                <w:rFonts w:hint="eastAsia" w:ascii="仿宋_GB2312" w:hAnsi="仿宋_GB2312" w:eastAsia="仿宋_GB2312" w:cs="仿宋_GB2312"/>
                <w:i w:val="0"/>
                <w:iCs w:val="0"/>
                <w:color w:val="000000"/>
                <w:kern w:val="0"/>
                <w:sz w:val="24"/>
                <w:szCs w:val="24"/>
                <w:highlight w:val="none"/>
                <w:u w:val="none"/>
                <w:lang w:val="en-US" w:eastAsia="zh-CN" w:bidi="ar"/>
              </w:rPr>
              <w:t>3485.93</w:t>
            </w:r>
          </w:p>
        </w:tc>
        <w:tc>
          <w:tcPr>
            <w:tcW w:w="961" w:type="dxa"/>
            <w:tcBorders>
              <w:top w:val="single" w:color="000001" w:sz="4" w:space="0"/>
              <w:left w:val="single" w:color="00000A"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default"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38.57</w:t>
            </w:r>
          </w:p>
        </w:tc>
        <w:tc>
          <w:tcPr>
            <w:tcW w:w="893"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default" w:ascii="仿宋_GB2312" w:hAnsi="仿宋_GB2312" w:eastAsia="仿宋_GB2312" w:cs="仿宋_GB2312"/>
                <w:sz w:val="24"/>
                <w:szCs w:val="24"/>
                <w:highlight w:val="none"/>
                <w:lang w:val="en-US"/>
              </w:rPr>
            </w:pPr>
            <w:r>
              <w:rPr>
                <w:rFonts w:hint="eastAsia" w:ascii="仿宋_GB2312" w:hAnsi="仿宋_GB2312" w:eastAsia="仿宋_GB2312" w:cs="仿宋_GB2312"/>
                <w:i w:val="0"/>
                <w:iCs w:val="0"/>
                <w:color w:val="000000"/>
                <w:kern w:val="0"/>
                <w:sz w:val="24"/>
                <w:szCs w:val="24"/>
                <w:highlight w:val="none"/>
                <w:u w:val="none"/>
                <w:lang w:val="en-US" w:eastAsia="zh-CN" w:bidi="ar"/>
              </w:rPr>
              <w:t>3447.36</w:t>
            </w:r>
          </w:p>
        </w:tc>
        <w:tc>
          <w:tcPr>
            <w:tcW w:w="838"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0</w:t>
            </w:r>
          </w:p>
        </w:tc>
        <w:tc>
          <w:tcPr>
            <w:tcW w:w="941"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0</w:t>
            </w:r>
          </w:p>
        </w:tc>
        <w:tc>
          <w:tcPr>
            <w:tcW w:w="3125" w:type="dxa"/>
            <w:gridSpan w:val="3"/>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1402"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textAlignment w:val="center"/>
              <w:rPr>
                <w:rFonts w:hint="eastAsia" w:ascii="仿宋_GB2312" w:hAnsi="仿宋_GB2312" w:eastAsia="仿宋_GB2312" w:cs="仿宋_GB2312"/>
                <w:sz w:val="24"/>
                <w:szCs w:val="24"/>
                <w:lang w:val="en" w:eastAsia="zh-CN"/>
              </w:rPr>
            </w:pPr>
            <w:r>
              <w:rPr>
                <w:rFonts w:hint="default" w:ascii="仿宋_GB2312" w:hAnsi="仿宋_GB2312" w:eastAsia="仿宋_GB2312" w:cs="仿宋_GB2312"/>
                <w:sz w:val="24"/>
                <w:szCs w:val="24"/>
                <w:lang w:val="en"/>
              </w:rPr>
              <w:t>2</w:t>
            </w:r>
            <w:r>
              <w:rPr>
                <w:rFonts w:hint="eastAsia" w:ascii="仿宋_GB2312" w:hAnsi="仿宋_GB2312" w:eastAsia="仿宋_GB2312" w:cs="仿宋_GB2312"/>
                <w:sz w:val="24"/>
                <w:szCs w:val="24"/>
                <w:lang w:val="en" w:eastAsia="zh-CN"/>
              </w:rPr>
              <w:t>、机关老干服务中心</w:t>
            </w:r>
          </w:p>
        </w:tc>
        <w:tc>
          <w:tcPr>
            <w:tcW w:w="1245" w:type="dxa"/>
            <w:tcBorders>
              <w:top w:val="single" w:color="000001" w:sz="4" w:space="0"/>
              <w:left w:val="single" w:color="000001" w:sz="4" w:space="0"/>
              <w:bottom w:val="single" w:color="000001" w:sz="4" w:space="0"/>
              <w:right w:val="single" w:color="00000A"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93.64</w:t>
            </w:r>
          </w:p>
        </w:tc>
        <w:tc>
          <w:tcPr>
            <w:tcW w:w="961" w:type="dxa"/>
            <w:tcBorders>
              <w:top w:val="single" w:color="000001" w:sz="4" w:space="0"/>
              <w:left w:val="single" w:color="00000A" w:sz="4" w:space="0"/>
              <w:bottom w:val="single" w:color="000001" w:sz="4" w:space="0"/>
              <w:right w:val="single" w:color="000001" w:sz="4" w:space="0"/>
            </w:tcBorders>
            <w:shd w:val="clear" w:color="auto" w:fill="auto"/>
            <w:tcMar>
              <w:left w:w="14" w:type="dxa"/>
              <w:right w:w="14" w:type="dxa"/>
            </w:tcMar>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0.25</w:t>
            </w:r>
          </w:p>
        </w:tc>
        <w:tc>
          <w:tcPr>
            <w:tcW w:w="893"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93.39</w:t>
            </w:r>
          </w:p>
        </w:tc>
        <w:tc>
          <w:tcPr>
            <w:tcW w:w="838"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941"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3125" w:type="dxa"/>
            <w:gridSpan w:val="3"/>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1402"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3、投资贸易促进中心</w:t>
            </w:r>
          </w:p>
        </w:tc>
        <w:tc>
          <w:tcPr>
            <w:tcW w:w="1245" w:type="dxa"/>
            <w:tcBorders>
              <w:top w:val="single" w:color="000001" w:sz="4" w:space="0"/>
              <w:left w:val="single" w:color="000001" w:sz="4" w:space="0"/>
              <w:bottom w:val="single" w:color="000001" w:sz="4" w:space="0"/>
              <w:right w:val="single" w:color="00000A"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754.95</w:t>
            </w:r>
          </w:p>
        </w:tc>
        <w:tc>
          <w:tcPr>
            <w:tcW w:w="961" w:type="dxa"/>
            <w:tcBorders>
              <w:top w:val="single" w:color="000001" w:sz="4" w:space="0"/>
              <w:left w:val="single" w:color="00000A" w:sz="4" w:space="0"/>
              <w:bottom w:val="single" w:color="000001" w:sz="4" w:space="0"/>
              <w:right w:val="single" w:color="000001" w:sz="4" w:space="0"/>
            </w:tcBorders>
            <w:shd w:val="clear" w:color="auto" w:fill="auto"/>
            <w:tcMar>
              <w:left w:w="14" w:type="dxa"/>
              <w:right w:w="14" w:type="dxa"/>
            </w:tcMar>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39.7</w:t>
            </w:r>
          </w:p>
        </w:tc>
        <w:tc>
          <w:tcPr>
            <w:tcW w:w="893"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508.87</w:t>
            </w:r>
          </w:p>
        </w:tc>
        <w:tc>
          <w:tcPr>
            <w:tcW w:w="838"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941"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181.41</w:t>
            </w:r>
          </w:p>
        </w:tc>
        <w:tc>
          <w:tcPr>
            <w:tcW w:w="3125" w:type="dxa"/>
            <w:gridSpan w:val="3"/>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24.97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1402"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4、投资促进事务中心</w:t>
            </w:r>
          </w:p>
        </w:tc>
        <w:tc>
          <w:tcPr>
            <w:tcW w:w="1245" w:type="dxa"/>
            <w:tcBorders>
              <w:top w:val="single" w:color="000001" w:sz="4" w:space="0"/>
              <w:left w:val="single" w:color="000001" w:sz="4" w:space="0"/>
              <w:bottom w:val="single" w:color="000001" w:sz="4" w:space="0"/>
              <w:right w:val="single" w:color="00000A"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149.21</w:t>
            </w:r>
          </w:p>
        </w:tc>
        <w:tc>
          <w:tcPr>
            <w:tcW w:w="961" w:type="dxa"/>
            <w:tcBorders>
              <w:top w:val="single" w:color="000001" w:sz="4" w:space="0"/>
              <w:left w:val="single" w:color="00000A" w:sz="4" w:space="0"/>
              <w:bottom w:val="single" w:color="000001" w:sz="4" w:space="0"/>
              <w:right w:val="single" w:color="000001" w:sz="4" w:space="0"/>
            </w:tcBorders>
            <w:shd w:val="clear" w:color="auto" w:fill="auto"/>
            <w:tcMar>
              <w:left w:w="14" w:type="dxa"/>
              <w:right w:w="14" w:type="dxa"/>
            </w:tcMar>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13.95</w:t>
            </w:r>
          </w:p>
        </w:tc>
        <w:tc>
          <w:tcPr>
            <w:tcW w:w="893"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135.25</w:t>
            </w:r>
          </w:p>
        </w:tc>
        <w:tc>
          <w:tcPr>
            <w:tcW w:w="838"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941"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3125" w:type="dxa"/>
            <w:gridSpan w:val="3"/>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2" w:hRule="atLeast"/>
          <w:jc w:val="center"/>
        </w:trPr>
        <w:tc>
          <w:tcPr>
            <w:tcW w:w="9405" w:type="dxa"/>
            <w:gridSpan w:val="9"/>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仿宋_GB2312" w:hAnsi="仿宋_GB2312" w:eastAsia="仿宋_GB2312" w:cs="仿宋_GB2312"/>
                <w:sz w:val="24"/>
                <w:szCs w:val="24"/>
              </w:rPr>
            </w:pPr>
            <w:r>
              <w:rPr>
                <w:rStyle w:val="12"/>
                <w:rFonts w:hint="eastAsia" w:ascii="仿宋_GB2312" w:hAnsi="仿宋_GB2312" w:eastAsia="仿宋_GB2312" w:cs="仿宋_GB2312"/>
                <w:sz w:val="24"/>
                <w:szCs w:val="24"/>
              </w:rPr>
              <w:t>部门（单位）年度支出和结余情况（万元）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12" w:hRule="atLeast"/>
          <w:jc w:val="center"/>
        </w:trPr>
        <w:tc>
          <w:tcPr>
            <w:tcW w:w="1402" w:type="dxa"/>
            <w:vMerge w:val="restart"/>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机构名称</w:t>
            </w:r>
          </w:p>
        </w:tc>
        <w:tc>
          <w:tcPr>
            <w:tcW w:w="1245" w:type="dxa"/>
            <w:vMerge w:val="restart"/>
            <w:tcBorders>
              <w:top w:val="single" w:color="000001" w:sz="4" w:space="0"/>
              <w:left w:val="single" w:color="000001" w:sz="4" w:space="0"/>
              <w:bottom w:val="single" w:color="000001" w:sz="4" w:space="0"/>
              <w:right w:val="single" w:color="00000A" w:sz="4" w:space="0"/>
            </w:tcBorders>
            <w:shd w:val="clear" w:color="auto" w:fill="auto"/>
            <w:tcMar>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支出合计</w:t>
            </w:r>
          </w:p>
        </w:tc>
        <w:tc>
          <w:tcPr>
            <w:tcW w:w="3633" w:type="dxa"/>
            <w:gridSpan w:val="4"/>
            <w:tcBorders>
              <w:top w:val="single" w:color="000001" w:sz="4" w:space="0"/>
              <w:left w:val="single" w:color="00000A" w:sz="4" w:space="0"/>
              <w:bottom w:val="single" w:color="00000A" w:sz="4" w:space="0"/>
              <w:right w:val="single" w:color="00000A" w:sz="4" w:space="0"/>
            </w:tcBorders>
            <w:shd w:val="clear" w:color="auto" w:fill="auto"/>
            <w:tcMar>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其中：</w:t>
            </w:r>
          </w:p>
        </w:tc>
        <w:tc>
          <w:tcPr>
            <w:tcW w:w="3125" w:type="dxa"/>
            <w:gridSpan w:val="3"/>
            <w:tcBorders>
              <w:top w:val="single" w:color="000001" w:sz="4" w:space="0"/>
              <w:left w:val="single" w:color="00000A" w:sz="4" w:space="0"/>
              <w:bottom w:val="single" w:color="00000A" w:sz="4" w:space="0"/>
              <w:right w:val="single" w:color="000001" w:sz="4" w:space="0"/>
            </w:tcBorders>
            <w:shd w:val="clear" w:color="auto" w:fill="auto"/>
            <w:tcMar>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32" w:hRule="atLeast"/>
          <w:jc w:val="center"/>
        </w:trPr>
        <w:tc>
          <w:tcPr>
            <w:tcW w:w="1402" w:type="dxa"/>
            <w:vMerge w:val="continue"/>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rPr>
                <w:rFonts w:hint="eastAsia" w:ascii="仿宋_GB2312" w:hAnsi="仿宋_GB2312" w:eastAsia="仿宋_GB2312" w:cs="仿宋_GB2312"/>
                <w:sz w:val="24"/>
                <w:szCs w:val="24"/>
              </w:rPr>
            </w:pPr>
          </w:p>
        </w:tc>
        <w:tc>
          <w:tcPr>
            <w:tcW w:w="1245" w:type="dxa"/>
            <w:vMerge w:val="continue"/>
            <w:tcBorders>
              <w:top w:val="single" w:color="000001" w:sz="4" w:space="0"/>
              <w:left w:val="single" w:color="000001" w:sz="4" w:space="0"/>
              <w:bottom w:val="single" w:color="000001" w:sz="4" w:space="0"/>
              <w:right w:val="single" w:color="00000A" w:sz="4" w:space="0"/>
            </w:tcBorders>
            <w:shd w:val="clear" w:color="auto" w:fill="auto"/>
            <w:tcMar>
              <w:left w:w="14" w:type="dxa"/>
              <w:right w:w="14" w:type="dxa"/>
            </w:tcMar>
            <w:vAlign w:val="center"/>
          </w:tcPr>
          <w:p>
            <w:pPr>
              <w:rPr>
                <w:rFonts w:hint="eastAsia" w:ascii="仿宋_GB2312" w:hAnsi="仿宋_GB2312" w:eastAsia="仿宋_GB2312" w:cs="仿宋_GB2312"/>
                <w:sz w:val="24"/>
                <w:szCs w:val="24"/>
              </w:rPr>
            </w:pPr>
          </w:p>
        </w:tc>
        <w:tc>
          <w:tcPr>
            <w:tcW w:w="961" w:type="dxa"/>
            <w:vMerge w:val="restart"/>
            <w:tcBorders>
              <w:top w:val="single" w:color="00000A" w:sz="4" w:space="0"/>
              <w:left w:val="single" w:color="00000A" w:sz="4" w:space="0"/>
              <w:bottom w:val="single" w:color="000001" w:sz="4" w:space="0"/>
              <w:right w:val="single" w:color="000001" w:sz="4" w:space="0"/>
            </w:tcBorders>
            <w:shd w:val="clear" w:color="auto" w:fill="auto"/>
            <w:tcMar>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基本支出</w:t>
            </w:r>
          </w:p>
        </w:tc>
        <w:tc>
          <w:tcPr>
            <w:tcW w:w="1731" w:type="dxa"/>
            <w:gridSpan w:val="2"/>
            <w:tcBorders>
              <w:top w:val="single" w:color="00000A"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其中：</w:t>
            </w:r>
          </w:p>
        </w:tc>
        <w:tc>
          <w:tcPr>
            <w:tcW w:w="941" w:type="dxa"/>
            <w:vMerge w:val="restart"/>
            <w:tcBorders>
              <w:top w:val="single" w:color="00000A" w:sz="4" w:space="0"/>
              <w:left w:val="single" w:color="000001" w:sz="4" w:space="0"/>
              <w:right w:val="single" w:color="00000A" w:sz="4" w:space="0"/>
            </w:tcBorders>
            <w:shd w:val="clear" w:color="auto" w:fill="auto"/>
            <w:tcMar>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项目支出</w:t>
            </w:r>
          </w:p>
        </w:tc>
        <w:tc>
          <w:tcPr>
            <w:tcW w:w="1013" w:type="dxa"/>
            <w:gridSpan w:val="2"/>
            <w:vMerge w:val="restart"/>
            <w:tcBorders>
              <w:top w:val="single" w:color="00000A" w:sz="4" w:space="0"/>
              <w:left w:val="single" w:color="00000A" w:sz="4" w:space="0"/>
              <w:right w:val="single" w:color="00000A" w:sz="4" w:space="0"/>
            </w:tcBorders>
            <w:shd w:val="clear" w:color="auto" w:fill="auto"/>
            <w:tcMar>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当年结余</w:t>
            </w:r>
          </w:p>
        </w:tc>
        <w:tc>
          <w:tcPr>
            <w:tcW w:w="2112" w:type="dxa"/>
            <w:vMerge w:val="restart"/>
            <w:tcBorders>
              <w:top w:val="single" w:color="00000A" w:sz="4" w:space="0"/>
              <w:left w:val="single" w:color="00000A" w:sz="4" w:space="0"/>
              <w:right w:val="single" w:color="000001" w:sz="4" w:space="0"/>
            </w:tcBorders>
            <w:shd w:val="clear" w:color="auto" w:fill="auto"/>
            <w:tcMar>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累计结余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2" w:hRule="atLeast"/>
          <w:jc w:val="center"/>
        </w:trPr>
        <w:tc>
          <w:tcPr>
            <w:tcW w:w="1402" w:type="dxa"/>
            <w:vMerge w:val="continue"/>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rPr>
                <w:rFonts w:hint="eastAsia" w:ascii="仿宋_GB2312" w:hAnsi="仿宋_GB2312" w:eastAsia="仿宋_GB2312" w:cs="仿宋_GB2312"/>
                <w:sz w:val="24"/>
                <w:szCs w:val="24"/>
              </w:rPr>
            </w:pPr>
          </w:p>
        </w:tc>
        <w:tc>
          <w:tcPr>
            <w:tcW w:w="1245" w:type="dxa"/>
            <w:vMerge w:val="continue"/>
            <w:tcBorders>
              <w:top w:val="single" w:color="000001" w:sz="4" w:space="0"/>
              <w:left w:val="single" w:color="000001" w:sz="4" w:space="0"/>
              <w:bottom w:val="single" w:color="000001" w:sz="4" w:space="0"/>
              <w:right w:val="single" w:color="00000A" w:sz="4" w:space="0"/>
            </w:tcBorders>
            <w:shd w:val="clear" w:color="auto" w:fill="auto"/>
            <w:tcMar>
              <w:left w:w="14" w:type="dxa"/>
              <w:right w:w="14" w:type="dxa"/>
            </w:tcMar>
            <w:vAlign w:val="center"/>
          </w:tcPr>
          <w:p>
            <w:pPr>
              <w:rPr>
                <w:rFonts w:hint="eastAsia" w:ascii="仿宋_GB2312" w:hAnsi="仿宋_GB2312" w:eastAsia="仿宋_GB2312" w:cs="仿宋_GB2312"/>
                <w:sz w:val="24"/>
                <w:szCs w:val="24"/>
              </w:rPr>
            </w:pPr>
          </w:p>
        </w:tc>
        <w:tc>
          <w:tcPr>
            <w:tcW w:w="961" w:type="dxa"/>
            <w:vMerge w:val="continue"/>
            <w:tcBorders>
              <w:top w:val="single" w:color="00000A" w:sz="4" w:space="0"/>
              <w:left w:val="single" w:color="00000A" w:sz="4" w:space="0"/>
              <w:bottom w:val="single" w:color="000001" w:sz="4" w:space="0"/>
              <w:right w:val="single" w:color="000001" w:sz="4" w:space="0"/>
            </w:tcBorders>
            <w:shd w:val="clear" w:color="auto" w:fill="auto"/>
            <w:tcMar>
              <w:left w:w="14" w:type="dxa"/>
              <w:right w:w="14" w:type="dxa"/>
            </w:tcMar>
            <w:vAlign w:val="center"/>
          </w:tcPr>
          <w:p>
            <w:pPr>
              <w:rPr>
                <w:rFonts w:hint="eastAsia" w:ascii="仿宋_GB2312" w:hAnsi="仿宋_GB2312" w:eastAsia="仿宋_GB2312" w:cs="仿宋_GB2312"/>
                <w:sz w:val="24"/>
                <w:szCs w:val="24"/>
              </w:rPr>
            </w:pPr>
          </w:p>
        </w:tc>
        <w:tc>
          <w:tcPr>
            <w:tcW w:w="893"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人员支出</w:t>
            </w:r>
          </w:p>
        </w:tc>
        <w:tc>
          <w:tcPr>
            <w:tcW w:w="838"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公用支出</w:t>
            </w:r>
          </w:p>
        </w:tc>
        <w:tc>
          <w:tcPr>
            <w:tcW w:w="941" w:type="dxa"/>
            <w:vMerge w:val="continue"/>
            <w:tcBorders>
              <w:left w:val="single" w:color="000001" w:sz="4" w:space="0"/>
              <w:bottom w:val="single" w:color="000001" w:sz="4" w:space="0"/>
              <w:right w:val="single" w:color="00000A" w:sz="4" w:space="0"/>
            </w:tcBorders>
            <w:shd w:val="clear" w:color="auto" w:fill="auto"/>
            <w:tcMar>
              <w:left w:w="14" w:type="dxa"/>
              <w:right w:w="14" w:type="dxa"/>
            </w:tcMar>
            <w:vAlign w:val="center"/>
          </w:tcPr>
          <w:p>
            <w:pPr>
              <w:keepNext w:val="0"/>
              <w:keepLines w:val="0"/>
              <w:widowControl/>
              <w:suppressLineNumbers w:val="0"/>
              <w:spacing w:before="0" w:beforeAutospacing="0" w:after="0" w:afterAutospacing="0" w:line="20" w:lineRule="atLeast"/>
              <w:ind w:left="0" w:right="0"/>
              <w:jc w:val="left"/>
              <w:rPr>
                <w:rFonts w:hint="eastAsia" w:ascii="仿宋_GB2312" w:hAnsi="仿宋_GB2312" w:eastAsia="仿宋_GB2312" w:cs="仿宋_GB2312"/>
                <w:sz w:val="24"/>
                <w:szCs w:val="24"/>
              </w:rPr>
            </w:pPr>
          </w:p>
        </w:tc>
        <w:tc>
          <w:tcPr>
            <w:tcW w:w="1013" w:type="dxa"/>
            <w:gridSpan w:val="2"/>
            <w:vMerge w:val="continue"/>
            <w:tcBorders>
              <w:left w:val="single" w:color="00000A" w:sz="4" w:space="0"/>
              <w:right w:val="single" w:color="00000A" w:sz="4" w:space="0"/>
            </w:tcBorders>
            <w:shd w:val="clear" w:color="auto" w:fill="auto"/>
            <w:tcMar>
              <w:left w:w="14" w:type="dxa"/>
              <w:right w:w="14" w:type="dxa"/>
            </w:tcMar>
            <w:vAlign w:val="center"/>
          </w:tcPr>
          <w:p>
            <w:pPr>
              <w:rPr>
                <w:rFonts w:hint="eastAsia" w:ascii="仿宋_GB2312" w:hAnsi="仿宋_GB2312" w:eastAsia="仿宋_GB2312" w:cs="仿宋_GB2312"/>
                <w:sz w:val="24"/>
                <w:szCs w:val="24"/>
              </w:rPr>
            </w:pPr>
          </w:p>
        </w:tc>
        <w:tc>
          <w:tcPr>
            <w:tcW w:w="2112" w:type="dxa"/>
            <w:vMerge w:val="continue"/>
            <w:tcBorders>
              <w:left w:val="single" w:color="00000A" w:sz="4" w:space="0"/>
              <w:right w:val="single" w:color="000001" w:sz="4" w:space="0"/>
            </w:tcBorders>
            <w:shd w:val="clear" w:color="auto" w:fill="auto"/>
            <w:tcMar>
              <w:left w:w="14" w:type="dxa"/>
              <w:right w:w="14" w:type="dxa"/>
            </w:tcMar>
            <w:vAlign w:val="center"/>
          </w:tcPr>
          <w:p>
            <w:pPr>
              <w:rPr>
                <w:rFonts w:hint="eastAsia" w:ascii="仿宋_GB2312" w:hAnsi="仿宋_GB2312" w:eastAsia="仿宋_GB2312" w:cs="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jc w:val="center"/>
        </w:trPr>
        <w:tc>
          <w:tcPr>
            <w:tcW w:w="1402"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局机关及二级机构汇总</w:t>
            </w:r>
          </w:p>
        </w:tc>
        <w:tc>
          <w:tcPr>
            <w:tcW w:w="1245" w:type="dxa"/>
            <w:tcBorders>
              <w:top w:val="single" w:color="000001" w:sz="4" w:space="0"/>
              <w:left w:val="single" w:color="000001" w:sz="4" w:space="0"/>
              <w:bottom w:val="single" w:color="000001" w:sz="4" w:space="0"/>
              <w:right w:val="single" w:color="00000A"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4483.73</w:t>
            </w:r>
          </w:p>
        </w:tc>
        <w:tc>
          <w:tcPr>
            <w:tcW w:w="961" w:type="dxa"/>
            <w:tcBorders>
              <w:top w:val="single" w:color="000001" w:sz="4" w:space="0"/>
              <w:left w:val="single" w:color="00000A"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2423.65</w:t>
            </w:r>
          </w:p>
        </w:tc>
        <w:tc>
          <w:tcPr>
            <w:tcW w:w="893"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2082.52</w:t>
            </w:r>
          </w:p>
        </w:tc>
        <w:tc>
          <w:tcPr>
            <w:tcW w:w="838"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341.13</w:t>
            </w:r>
          </w:p>
        </w:tc>
        <w:tc>
          <w:tcPr>
            <w:tcW w:w="941"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2060.08</w:t>
            </w:r>
          </w:p>
        </w:tc>
        <w:tc>
          <w:tcPr>
            <w:tcW w:w="1013" w:type="dxa"/>
            <w:gridSpan w:val="2"/>
            <w:tcBorders>
              <w:top w:val="single" w:color="000001" w:sz="4" w:space="0"/>
              <w:left w:val="single" w:color="000001" w:sz="4" w:space="0"/>
              <w:bottom w:val="single" w:color="000001" w:sz="4" w:space="0"/>
              <w:right w:val="single" w:color="00000A"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2112" w:type="dxa"/>
            <w:tcBorders>
              <w:top w:val="single" w:color="000001" w:sz="4" w:space="0"/>
              <w:left w:val="single" w:color="00000A"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1402"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1、局机关</w:t>
            </w:r>
          </w:p>
        </w:tc>
        <w:tc>
          <w:tcPr>
            <w:tcW w:w="1245" w:type="dxa"/>
            <w:tcBorders>
              <w:top w:val="single" w:color="000001" w:sz="4" w:space="0"/>
              <w:left w:val="single" w:color="000001" w:sz="4" w:space="0"/>
              <w:bottom w:val="single" w:color="000001" w:sz="4" w:space="0"/>
              <w:right w:val="single" w:color="00000A"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default" w:ascii="仿宋_GB2312" w:hAnsi="仿宋_GB2312" w:eastAsia="仿宋_GB2312" w:cs="仿宋_GB2312"/>
                <w:sz w:val="24"/>
                <w:szCs w:val="24"/>
                <w:lang w:val="en-US"/>
              </w:rPr>
            </w:pPr>
            <w:r>
              <w:rPr>
                <w:rFonts w:hint="eastAsia" w:ascii="仿宋_GB2312" w:hAnsi="仿宋_GB2312" w:eastAsia="仿宋_GB2312" w:cs="仿宋_GB2312"/>
                <w:i w:val="0"/>
                <w:iCs w:val="0"/>
                <w:color w:val="000000"/>
                <w:kern w:val="0"/>
                <w:sz w:val="24"/>
                <w:szCs w:val="24"/>
                <w:u w:val="none"/>
                <w:lang w:val="en-US" w:eastAsia="zh-CN" w:bidi="ar"/>
              </w:rPr>
              <w:t>3485.93</w:t>
            </w:r>
          </w:p>
        </w:tc>
        <w:tc>
          <w:tcPr>
            <w:tcW w:w="961" w:type="dxa"/>
            <w:tcBorders>
              <w:top w:val="single" w:color="000001" w:sz="4" w:space="0"/>
              <w:left w:val="single" w:color="00000A"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default" w:ascii="仿宋_GB2312" w:hAnsi="仿宋_GB2312" w:eastAsia="仿宋_GB2312" w:cs="仿宋_GB2312"/>
                <w:sz w:val="24"/>
                <w:szCs w:val="24"/>
                <w:lang w:val="en-US"/>
              </w:rPr>
            </w:pPr>
            <w:r>
              <w:rPr>
                <w:rFonts w:hint="eastAsia" w:ascii="仿宋_GB2312" w:hAnsi="仿宋_GB2312" w:eastAsia="仿宋_GB2312" w:cs="仿宋_GB2312"/>
                <w:i w:val="0"/>
                <w:iCs w:val="0"/>
                <w:color w:val="000000"/>
                <w:kern w:val="0"/>
                <w:sz w:val="24"/>
                <w:szCs w:val="24"/>
                <w:u w:val="none"/>
                <w:lang w:val="en-US" w:eastAsia="zh-CN" w:bidi="ar"/>
              </w:rPr>
              <w:t>1481.9</w:t>
            </w:r>
          </w:p>
        </w:tc>
        <w:tc>
          <w:tcPr>
            <w:tcW w:w="893"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default" w:ascii="仿宋_GB2312" w:hAnsi="仿宋_GB2312" w:eastAsia="仿宋_GB2312" w:cs="仿宋_GB2312"/>
                <w:sz w:val="24"/>
                <w:szCs w:val="24"/>
                <w:lang w:val="en-US"/>
              </w:rPr>
            </w:pPr>
            <w:r>
              <w:rPr>
                <w:rFonts w:hint="eastAsia" w:ascii="仿宋_GB2312" w:hAnsi="仿宋_GB2312" w:eastAsia="仿宋_GB2312" w:cs="仿宋_GB2312"/>
                <w:i w:val="0"/>
                <w:iCs w:val="0"/>
                <w:color w:val="000000"/>
                <w:kern w:val="0"/>
                <w:sz w:val="24"/>
                <w:szCs w:val="24"/>
                <w:u w:val="none"/>
                <w:lang w:val="en-US" w:eastAsia="zh-CN" w:bidi="ar"/>
              </w:rPr>
              <w:t>1358.06</w:t>
            </w:r>
          </w:p>
        </w:tc>
        <w:tc>
          <w:tcPr>
            <w:tcW w:w="838"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123.84</w:t>
            </w:r>
          </w:p>
        </w:tc>
        <w:tc>
          <w:tcPr>
            <w:tcW w:w="941"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default" w:ascii="仿宋_GB2312" w:hAnsi="仿宋_GB2312" w:eastAsia="仿宋_GB2312" w:cs="仿宋_GB2312"/>
                <w:sz w:val="24"/>
                <w:szCs w:val="24"/>
                <w:lang w:val="en-US"/>
              </w:rPr>
            </w:pPr>
            <w:r>
              <w:rPr>
                <w:rFonts w:hint="eastAsia" w:ascii="仿宋_GB2312" w:hAnsi="仿宋_GB2312" w:eastAsia="仿宋_GB2312" w:cs="仿宋_GB2312"/>
                <w:i w:val="0"/>
                <w:iCs w:val="0"/>
                <w:color w:val="000000"/>
                <w:kern w:val="0"/>
                <w:sz w:val="24"/>
                <w:szCs w:val="24"/>
                <w:u w:val="none"/>
                <w:lang w:val="en-US" w:eastAsia="zh-CN" w:bidi="ar"/>
              </w:rPr>
              <w:t>2004.03</w:t>
            </w:r>
          </w:p>
        </w:tc>
        <w:tc>
          <w:tcPr>
            <w:tcW w:w="1013" w:type="dxa"/>
            <w:gridSpan w:val="2"/>
            <w:tcBorders>
              <w:top w:val="single" w:color="000001" w:sz="4" w:space="0"/>
              <w:left w:val="single" w:color="000001" w:sz="4" w:space="0"/>
              <w:bottom w:val="single" w:color="000001" w:sz="4" w:space="0"/>
              <w:right w:val="single" w:color="00000A"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i w:val="0"/>
                <w:iCs w:val="0"/>
                <w:color w:val="000000"/>
                <w:kern w:val="0"/>
                <w:sz w:val="24"/>
                <w:szCs w:val="24"/>
                <w:u w:val="none"/>
                <w:lang w:val="en-US" w:eastAsia="zh-CN" w:bidi="ar"/>
              </w:rPr>
              <w:t>0</w:t>
            </w:r>
          </w:p>
        </w:tc>
        <w:tc>
          <w:tcPr>
            <w:tcW w:w="2112" w:type="dxa"/>
            <w:tcBorders>
              <w:top w:val="single" w:color="000001" w:sz="4" w:space="0"/>
              <w:left w:val="single" w:color="00000A"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jc w:val="center"/>
        </w:trPr>
        <w:tc>
          <w:tcPr>
            <w:tcW w:w="1402"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leftChars="0" w:right="0" w:rightChars="0"/>
              <w:textAlignment w:val="center"/>
              <w:rPr>
                <w:rFonts w:hint="eastAsia" w:ascii="仿宋_GB2312" w:hAnsi="仿宋_GB2312" w:eastAsia="仿宋_GB2312" w:cs="仿宋_GB2312"/>
                <w:sz w:val="24"/>
                <w:szCs w:val="24"/>
              </w:rPr>
            </w:pPr>
            <w:r>
              <w:rPr>
                <w:rFonts w:hint="default" w:ascii="仿宋_GB2312" w:hAnsi="仿宋_GB2312" w:eastAsia="仿宋_GB2312" w:cs="仿宋_GB2312"/>
                <w:sz w:val="24"/>
                <w:szCs w:val="24"/>
                <w:lang w:val="en"/>
              </w:rPr>
              <w:t>2</w:t>
            </w:r>
            <w:r>
              <w:rPr>
                <w:rFonts w:hint="eastAsia" w:ascii="仿宋_GB2312" w:hAnsi="仿宋_GB2312" w:eastAsia="仿宋_GB2312" w:cs="仿宋_GB2312"/>
                <w:sz w:val="24"/>
                <w:szCs w:val="24"/>
                <w:lang w:val="en" w:eastAsia="zh-CN"/>
              </w:rPr>
              <w:t>、机关老干服务中心</w:t>
            </w:r>
          </w:p>
        </w:tc>
        <w:tc>
          <w:tcPr>
            <w:tcW w:w="1245" w:type="dxa"/>
            <w:tcBorders>
              <w:top w:val="single" w:color="000001" w:sz="4" w:space="0"/>
              <w:left w:val="single" w:color="000001" w:sz="4" w:space="0"/>
              <w:bottom w:val="single" w:color="000001" w:sz="4" w:space="0"/>
              <w:right w:val="single" w:color="00000A"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93.64</w:t>
            </w:r>
          </w:p>
        </w:tc>
        <w:tc>
          <w:tcPr>
            <w:tcW w:w="961" w:type="dxa"/>
            <w:tcBorders>
              <w:top w:val="single" w:color="000001" w:sz="4" w:space="0"/>
              <w:left w:val="single" w:color="00000A"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93.64</w:t>
            </w:r>
          </w:p>
        </w:tc>
        <w:tc>
          <w:tcPr>
            <w:tcW w:w="893"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86.09</w:t>
            </w:r>
          </w:p>
        </w:tc>
        <w:tc>
          <w:tcPr>
            <w:tcW w:w="838"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7.55</w:t>
            </w:r>
          </w:p>
        </w:tc>
        <w:tc>
          <w:tcPr>
            <w:tcW w:w="941"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1013" w:type="dxa"/>
            <w:gridSpan w:val="2"/>
            <w:tcBorders>
              <w:top w:val="single" w:color="000001" w:sz="4" w:space="0"/>
              <w:left w:val="single" w:color="000001" w:sz="4" w:space="0"/>
              <w:bottom w:val="single" w:color="000001" w:sz="4" w:space="0"/>
              <w:right w:val="single" w:color="00000A"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2112" w:type="dxa"/>
            <w:tcBorders>
              <w:top w:val="single" w:color="000001" w:sz="4" w:space="0"/>
              <w:left w:val="single" w:color="00000A"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jc w:val="center"/>
        </w:trPr>
        <w:tc>
          <w:tcPr>
            <w:tcW w:w="1402"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leftChars="0" w:right="0" w:rightChars="0"/>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3、投资贸易促进中心</w:t>
            </w:r>
          </w:p>
        </w:tc>
        <w:tc>
          <w:tcPr>
            <w:tcW w:w="1245" w:type="dxa"/>
            <w:tcBorders>
              <w:top w:val="single" w:color="000001" w:sz="4" w:space="0"/>
              <w:left w:val="single" w:color="000001" w:sz="4" w:space="0"/>
              <w:bottom w:val="single" w:color="000001" w:sz="4" w:space="0"/>
              <w:right w:val="single" w:color="00000A"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754.96</w:t>
            </w:r>
          </w:p>
        </w:tc>
        <w:tc>
          <w:tcPr>
            <w:tcW w:w="961" w:type="dxa"/>
            <w:tcBorders>
              <w:top w:val="single" w:color="000001" w:sz="4" w:space="0"/>
              <w:left w:val="single" w:color="00000A"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746.99</w:t>
            </w:r>
          </w:p>
        </w:tc>
        <w:tc>
          <w:tcPr>
            <w:tcW w:w="893"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544.21</w:t>
            </w:r>
          </w:p>
        </w:tc>
        <w:tc>
          <w:tcPr>
            <w:tcW w:w="838"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202.78</w:t>
            </w:r>
          </w:p>
        </w:tc>
        <w:tc>
          <w:tcPr>
            <w:tcW w:w="941"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7.97</w:t>
            </w:r>
          </w:p>
        </w:tc>
        <w:tc>
          <w:tcPr>
            <w:tcW w:w="1013" w:type="dxa"/>
            <w:gridSpan w:val="2"/>
            <w:tcBorders>
              <w:top w:val="single" w:color="000001" w:sz="4" w:space="0"/>
              <w:left w:val="single" w:color="000001" w:sz="4" w:space="0"/>
              <w:bottom w:val="single" w:color="000001" w:sz="4" w:space="0"/>
              <w:right w:val="single" w:color="00000A"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2112" w:type="dxa"/>
            <w:tcBorders>
              <w:top w:val="single" w:color="000001" w:sz="4" w:space="0"/>
              <w:left w:val="single" w:color="00000A"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jc w:val="center"/>
        </w:trPr>
        <w:tc>
          <w:tcPr>
            <w:tcW w:w="1402"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leftChars="0" w:right="0" w:rightChars="0"/>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4、投资促进事务中心</w:t>
            </w:r>
          </w:p>
        </w:tc>
        <w:tc>
          <w:tcPr>
            <w:tcW w:w="1245" w:type="dxa"/>
            <w:tcBorders>
              <w:top w:val="single" w:color="000001" w:sz="4" w:space="0"/>
              <w:left w:val="single" w:color="000001" w:sz="4" w:space="0"/>
              <w:bottom w:val="single" w:color="000001" w:sz="4" w:space="0"/>
              <w:right w:val="single" w:color="00000A"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149.21</w:t>
            </w:r>
          </w:p>
        </w:tc>
        <w:tc>
          <w:tcPr>
            <w:tcW w:w="961" w:type="dxa"/>
            <w:tcBorders>
              <w:top w:val="single" w:color="000001" w:sz="4" w:space="0"/>
              <w:left w:val="single" w:color="00000A"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101.13</w:t>
            </w:r>
          </w:p>
        </w:tc>
        <w:tc>
          <w:tcPr>
            <w:tcW w:w="893"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94.16</w:t>
            </w:r>
          </w:p>
        </w:tc>
        <w:tc>
          <w:tcPr>
            <w:tcW w:w="838"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6.96</w:t>
            </w:r>
          </w:p>
        </w:tc>
        <w:tc>
          <w:tcPr>
            <w:tcW w:w="941"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48.08</w:t>
            </w:r>
          </w:p>
        </w:tc>
        <w:tc>
          <w:tcPr>
            <w:tcW w:w="1013" w:type="dxa"/>
            <w:gridSpan w:val="2"/>
            <w:tcBorders>
              <w:top w:val="single" w:color="000001" w:sz="4" w:space="0"/>
              <w:left w:val="single" w:color="000001" w:sz="4" w:space="0"/>
              <w:bottom w:val="single" w:color="000001" w:sz="4" w:space="0"/>
              <w:right w:val="single" w:color="00000A"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2112" w:type="dxa"/>
            <w:tcBorders>
              <w:top w:val="single" w:color="000001" w:sz="4" w:space="0"/>
              <w:left w:val="single" w:color="00000A"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2" w:hRule="atLeast"/>
          <w:jc w:val="center"/>
        </w:trPr>
        <w:tc>
          <w:tcPr>
            <w:tcW w:w="1402" w:type="dxa"/>
            <w:vMerge w:val="restart"/>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机构名称</w:t>
            </w:r>
          </w:p>
        </w:tc>
        <w:tc>
          <w:tcPr>
            <w:tcW w:w="1245" w:type="dxa"/>
            <w:vMerge w:val="restart"/>
            <w:tcBorders>
              <w:top w:val="single" w:color="000001" w:sz="4" w:space="0"/>
              <w:left w:val="single" w:color="000001" w:sz="4" w:space="0"/>
              <w:bottom w:val="single" w:color="000001" w:sz="4" w:space="0"/>
              <w:right w:val="single" w:color="00000A" w:sz="4" w:space="0"/>
            </w:tcBorders>
            <w:shd w:val="clear" w:color="auto" w:fill="auto"/>
            <w:tcMar>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三公经费</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合计</w:t>
            </w:r>
          </w:p>
        </w:tc>
        <w:tc>
          <w:tcPr>
            <w:tcW w:w="6758" w:type="dxa"/>
            <w:gridSpan w:val="7"/>
            <w:tcBorders>
              <w:top w:val="single" w:color="000001" w:sz="4" w:space="0"/>
              <w:left w:val="single" w:color="00000A" w:sz="4" w:space="0"/>
              <w:bottom w:val="single" w:color="000001" w:sz="4" w:space="0"/>
              <w:right w:val="single" w:color="000001" w:sz="4" w:space="0"/>
            </w:tcBorders>
            <w:shd w:val="clear" w:color="auto" w:fill="auto"/>
            <w:tcMar>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其中：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402" w:type="dxa"/>
            <w:vMerge w:val="continue"/>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rPr>
                <w:rFonts w:hint="eastAsia" w:ascii="仿宋_GB2312" w:hAnsi="仿宋_GB2312" w:eastAsia="仿宋_GB2312" w:cs="仿宋_GB2312"/>
                <w:sz w:val="24"/>
                <w:szCs w:val="24"/>
              </w:rPr>
            </w:pPr>
          </w:p>
        </w:tc>
        <w:tc>
          <w:tcPr>
            <w:tcW w:w="1245" w:type="dxa"/>
            <w:vMerge w:val="continue"/>
            <w:tcBorders>
              <w:top w:val="single" w:color="000001" w:sz="4" w:space="0"/>
              <w:left w:val="single" w:color="000001" w:sz="4" w:space="0"/>
              <w:bottom w:val="single" w:color="000001" w:sz="4" w:space="0"/>
              <w:right w:val="single" w:color="00000A" w:sz="4" w:space="0"/>
            </w:tcBorders>
            <w:shd w:val="clear" w:color="auto" w:fill="auto"/>
            <w:tcMar>
              <w:left w:w="14" w:type="dxa"/>
              <w:right w:w="14" w:type="dxa"/>
            </w:tcMar>
            <w:vAlign w:val="center"/>
          </w:tcPr>
          <w:p>
            <w:pPr>
              <w:rPr>
                <w:rFonts w:hint="eastAsia" w:ascii="仿宋_GB2312" w:hAnsi="仿宋_GB2312" w:eastAsia="仿宋_GB2312" w:cs="仿宋_GB2312"/>
                <w:sz w:val="24"/>
                <w:szCs w:val="24"/>
              </w:rPr>
            </w:pPr>
          </w:p>
        </w:tc>
        <w:tc>
          <w:tcPr>
            <w:tcW w:w="961" w:type="dxa"/>
            <w:tcBorders>
              <w:top w:val="single" w:color="000001" w:sz="4" w:space="0"/>
              <w:left w:val="single" w:color="00000A" w:sz="4" w:space="0"/>
              <w:bottom w:val="single" w:color="000001" w:sz="4" w:space="0"/>
              <w:right w:val="single" w:color="000001" w:sz="4" w:space="0"/>
            </w:tcBorders>
            <w:shd w:val="clear" w:color="auto" w:fill="auto"/>
            <w:tcMar>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公务接待费</w:t>
            </w:r>
          </w:p>
        </w:tc>
        <w:tc>
          <w:tcPr>
            <w:tcW w:w="893"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公务用车运行维护费</w:t>
            </w:r>
          </w:p>
        </w:tc>
        <w:tc>
          <w:tcPr>
            <w:tcW w:w="838"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公务用车购置费</w:t>
            </w:r>
          </w:p>
        </w:tc>
        <w:tc>
          <w:tcPr>
            <w:tcW w:w="4066" w:type="dxa"/>
            <w:gridSpan w:val="4"/>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因公出国（境）费用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50" w:hRule="atLeast"/>
          <w:jc w:val="center"/>
        </w:trPr>
        <w:tc>
          <w:tcPr>
            <w:tcW w:w="1402"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局机关及二级机构汇总</w:t>
            </w:r>
          </w:p>
        </w:tc>
        <w:tc>
          <w:tcPr>
            <w:tcW w:w="1245" w:type="dxa"/>
            <w:tcBorders>
              <w:top w:val="single" w:color="000001" w:sz="4" w:space="0"/>
              <w:left w:val="single" w:color="000001" w:sz="4" w:space="0"/>
              <w:bottom w:val="single" w:color="000001" w:sz="4" w:space="0"/>
              <w:right w:val="single" w:color="00000A"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30.02</w:t>
            </w:r>
          </w:p>
        </w:tc>
        <w:tc>
          <w:tcPr>
            <w:tcW w:w="961" w:type="dxa"/>
            <w:tcBorders>
              <w:top w:val="single" w:color="000001" w:sz="4" w:space="0"/>
              <w:left w:val="single" w:color="00000A"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7.20</w:t>
            </w:r>
          </w:p>
        </w:tc>
        <w:tc>
          <w:tcPr>
            <w:tcW w:w="893"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22.82</w:t>
            </w:r>
          </w:p>
        </w:tc>
        <w:tc>
          <w:tcPr>
            <w:tcW w:w="838"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4066" w:type="dxa"/>
            <w:gridSpan w:val="4"/>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0" w:hRule="atLeast"/>
          <w:jc w:val="center"/>
        </w:trPr>
        <w:tc>
          <w:tcPr>
            <w:tcW w:w="1402"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1、局机关</w:t>
            </w:r>
          </w:p>
        </w:tc>
        <w:tc>
          <w:tcPr>
            <w:tcW w:w="1245" w:type="dxa"/>
            <w:tcBorders>
              <w:top w:val="single" w:color="000001" w:sz="4" w:space="0"/>
              <w:left w:val="single" w:color="000001" w:sz="4" w:space="0"/>
              <w:bottom w:val="single" w:color="000001" w:sz="4" w:space="0"/>
              <w:right w:val="single" w:color="00000A"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default" w:ascii="仿宋_GB2312" w:hAnsi="仿宋_GB2312" w:eastAsia="仿宋_GB2312" w:cs="仿宋_GB2312"/>
                <w:sz w:val="24"/>
                <w:szCs w:val="24"/>
                <w:lang w:val="en-US"/>
              </w:rPr>
            </w:pPr>
            <w:r>
              <w:rPr>
                <w:rFonts w:hint="eastAsia" w:ascii="仿宋_GB2312" w:hAnsi="仿宋_GB2312" w:eastAsia="仿宋_GB2312" w:cs="仿宋_GB2312"/>
                <w:i w:val="0"/>
                <w:iCs w:val="0"/>
                <w:color w:val="000000"/>
                <w:kern w:val="0"/>
                <w:sz w:val="24"/>
                <w:szCs w:val="24"/>
                <w:u w:val="none"/>
                <w:lang w:val="en-US" w:eastAsia="zh-CN" w:bidi="ar"/>
              </w:rPr>
              <w:t>29.36</w:t>
            </w:r>
          </w:p>
        </w:tc>
        <w:tc>
          <w:tcPr>
            <w:tcW w:w="961" w:type="dxa"/>
            <w:tcBorders>
              <w:top w:val="single" w:color="000001" w:sz="4" w:space="0"/>
              <w:left w:val="single" w:color="00000A"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default" w:ascii="仿宋_GB2312" w:hAnsi="仿宋_GB2312" w:eastAsia="仿宋_GB2312" w:cs="仿宋_GB2312"/>
                <w:sz w:val="24"/>
                <w:szCs w:val="24"/>
                <w:lang w:val="en-US"/>
              </w:rPr>
            </w:pPr>
            <w:r>
              <w:rPr>
                <w:rFonts w:hint="eastAsia" w:ascii="仿宋_GB2312" w:hAnsi="仿宋_GB2312" w:eastAsia="仿宋_GB2312" w:cs="仿宋_GB2312"/>
                <w:i w:val="0"/>
                <w:iCs w:val="0"/>
                <w:color w:val="000000"/>
                <w:kern w:val="0"/>
                <w:sz w:val="24"/>
                <w:szCs w:val="24"/>
                <w:u w:val="none"/>
                <w:lang w:val="en-US" w:eastAsia="zh-CN" w:bidi="ar"/>
              </w:rPr>
              <w:t>6.54</w:t>
            </w:r>
          </w:p>
        </w:tc>
        <w:tc>
          <w:tcPr>
            <w:tcW w:w="893"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default" w:ascii="仿宋_GB2312" w:hAnsi="仿宋_GB2312" w:eastAsia="仿宋_GB2312" w:cs="仿宋_GB2312"/>
                <w:sz w:val="24"/>
                <w:szCs w:val="24"/>
                <w:lang w:val="en-US"/>
              </w:rPr>
            </w:pPr>
            <w:r>
              <w:rPr>
                <w:rFonts w:hint="eastAsia" w:ascii="仿宋_GB2312" w:hAnsi="仿宋_GB2312" w:eastAsia="仿宋_GB2312" w:cs="仿宋_GB2312"/>
                <w:i w:val="0"/>
                <w:iCs w:val="0"/>
                <w:color w:val="000000"/>
                <w:kern w:val="0"/>
                <w:sz w:val="24"/>
                <w:szCs w:val="24"/>
                <w:u w:val="none"/>
                <w:lang w:val="en-US" w:eastAsia="zh-CN" w:bidi="ar"/>
              </w:rPr>
              <w:t>22.82</w:t>
            </w:r>
          </w:p>
        </w:tc>
        <w:tc>
          <w:tcPr>
            <w:tcW w:w="838"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4066" w:type="dxa"/>
            <w:gridSpan w:val="4"/>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jc w:val="center"/>
        </w:trPr>
        <w:tc>
          <w:tcPr>
            <w:tcW w:w="1402"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leftChars="0" w:right="0" w:rightChars="0"/>
              <w:textAlignment w:val="center"/>
              <w:rPr>
                <w:rFonts w:hint="eastAsia" w:ascii="仿宋_GB2312" w:hAnsi="仿宋_GB2312" w:eastAsia="仿宋_GB2312" w:cs="仿宋_GB2312"/>
                <w:kern w:val="0"/>
                <w:sz w:val="24"/>
                <w:szCs w:val="24"/>
                <w:lang w:val="en-US" w:eastAsia="zh-CN" w:bidi="ar"/>
              </w:rPr>
            </w:pPr>
            <w:r>
              <w:rPr>
                <w:rFonts w:hint="default" w:ascii="仿宋_GB2312" w:hAnsi="仿宋_GB2312" w:eastAsia="仿宋_GB2312" w:cs="仿宋_GB2312"/>
                <w:sz w:val="24"/>
                <w:szCs w:val="24"/>
                <w:lang w:val="en"/>
              </w:rPr>
              <w:t>2</w:t>
            </w:r>
            <w:r>
              <w:rPr>
                <w:rFonts w:hint="eastAsia" w:ascii="仿宋_GB2312" w:hAnsi="仿宋_GB2312" w:eastAsia="仿宋_GB2312" w:cs="仿宋_GB2312"/>
                <w:sz w:val="24"/>
                <w:szCs w:val="24"/>
                <w:lang w:val="en" w:eastAsia="zh-CN"/>
              </w:rPr>
              <w:t>、机关老干服务中心</w:t>
            </w:r>
          </w:p>
        </w:tc>
        <w:tc>
          <w:tcPr>
            <w:tcW w:w="1245" w:type="dxa"/>
            <w:tcBorders>
              <w:top w:val="single" w:color="000001" w:sz="4" w:space="0"/>
              <w:left w:val="single" w:color="000001" w:sz="4" w:space="0"/>
              <w:bottom w:val="single" w:color="000001" w:sz="4" w:space="0"/>
              <w:right w:val="single" w:color="00000A" w:sz="4" w:space="0"/>
            </w:tcBorders>
            <w:shd w:val="clear" w:color="auto" w:fill="auto"/>
            <w:tcMar>
              <w:left w:w="14" w:type="dxa"/>
              <w:right w:w="14" w:type="dxa"/>
            </w:tcMar>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961" w:type="dxa"/>
            <w:tcBorders>
              <w:top w:val="single" w:color="000001" w:sz="4" w:space="0"/>
              <w:left w:val="single" w:color="00000A" w:sz="4" w:space="0"/>
              <w:bottom w:val="single" w:color="000001" w:sz="4" w:space="0"/>
              <w:right w:val="single" w:color="000001" w:sz="4" w:space="0"/>
            </w:tcBorders>
            <w:shd w:val="clear" w:color="auto" w:fill="auto"/>
            <w:tcMar>
              <w:left w:w="14" w:type="dxa"/>
              <w:right w:w="14" w:type="dxa"/>
            </w:tcMar>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893"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838"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4066" w:type="dxa"/>
            <w:gridSpan w:val="4"/>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jc w:val="center"/>
        </w:trPr>
        <w:tc>
          <w:tcPr>
            <w:tcW w:w="1402"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leftChars="0" w:right="0" w:rightChars="0"/>
              <w:textAlignment w:val="center"/>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sz w:val="24"/>
                <w:szCs w:val="24"/>
                <w:lang w:val="en-US" w:eastAsia="zh-CN"/>
              </w:rPr>
              <w:t>3、投资贸易促进中心</w:t>
            </w:r>
          </w:p>
        </w:tc>
        <w:tc>
          <w:tcPr>
            <w:tcW w:w="1245" w:type="dxa"/>
            <w:tcBorders>
              <w:top w:val="single" w:color="000001" w:sz="4" w:space="0"/>
              <w:left w:val="single" w:color="000001" w:sz="4" w:space="0"/>
              <w:bottom w:val="single" w:color="000001" w:sz="4" w:space="0"/>
              <w:right w:val="single" w:color="00000A" w:sz="4" w:space="0"/>
            </w:tcBorders>
            <w:shd w:val="clear" w:color="auto" w:fill="auto"/>
            <w:tcMar>
              <w:left w:w="14" w:type="dxa"/>
              <w:right w:w="14" w:type="dxa"/>
            </w:tcMar>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961" w:type="dxa"/>
            <w:tcBorders>
              <w:top w:val="single" w:color="000001" w:sz="4" w:space="0"/>
              <w:left w:val="single" w:color="00000A" w:sz="4" w:space="0"/>
              <w:bottom w:val="single" w:color="000001" w:sz="4" w:space="0"/>
              <w:right w:val="single" w:color="000001" w:sz="4" w:space="0"/>
            </w:tcBorders>
            <w:shd w:val="clear" w:color="auto" w:fill="auto"/>
            <w:tcMar>
              <w:left w:w="14" w:type="dxa"/>
              <w:right w:w="14" w:type="dxa"/>
            </w:tcMar>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893"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838"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4066" w:type="dxa"/>
            <w:gridSpan w:val="4"/>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jc w:val="center"/>
        </w:trPr>
        <w:tc>
          <w:tcPr>
            <w:tcW w:w="1402"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leftChars="0" w:right="0" w:rightChars="0"/>
              <w:textAlignment w:val="center"/>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sz w:val="24"/>
                <w:szCs w:val="24"/>
                <w:lang w:val="en-US" w:eastAsia="zh-CN"/>
              </w:rPr>
              <w:t>4、投资促进事务中心</w:t>
            </w:r>
          </w:p>
        </w:tc>
        <w:tc>
          <w:tcPr>
            <w:tcW w:w="1245" w:type="dxa"/>
            <w:tcBorders>
              <w:top w:val="single" w:color="000001" w:sz="4" w:space="0"/>
              <w:left w:val="single" w:color="000001" w:sz="4" w:space="0"/>
              <w:bottom w:val="single" w:color="000001" w:sz="4" w:space="0"/>
              <w:right w:val="single" w:color="00000A" w:sz="4" w:space="0"/>
            </w:tcBorders>
            <w:shd w:val="clear" w:color="auto" w:fill="auto"/>
            <w:tcMar>
              <w:left w:w="14" w:type="dxa"/>
              <w:right w:w="14" w:type="dxa"/>
            </w:tcMar>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0.66</w:t>
            </w:r>
          </w:p>
        </w:tc>
        <w:tc>
          <w:tcPr>
            <w:tcW w:w="961" w:type="dxa"/>
            <w:tcBorders>
              <w:top w:val="single" w:color="000001" w:sz="4" w:space="0"/>
              <w:left w:val="single" w:color="00000A" w:sz="4" w:space="0"/>
              <w:bottom w:val="single" w:color="000001" w:sz="4" w:space="0"/>
              <w:right w:val="single" w:color="000001" w:sz="4" w:space="0"/>
            </w:tcBorders>
            <w:shd w:val="clear" w:color="auto" w:fill="auto"/>
            <w:tcMar>
              <w:left w:w="14" w:type="dxa"/>
              <w:right w:w="14" w:type="dxa"/>
            </w:tcMar>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0.66</w:t>
            </w:r>
          </w:p>
        </w:tc>
        <w:tc>
          <w:tcPr>
            <w:tcW w:w="893"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838"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4066" w:type="dxa"/>
            <w:gridSpan w:val="4"/>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2" w:hRule="atLeast"/>
          <w:jc w:val="center"/>
        </w:trPr>
        <w:tc>
          <w:tcPr>
            <w:tcW w:w="1402" w:type="dxa"/>
            <w:vMerge w:val="restart"/>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机构名称</w:t>
            </w:r>
          </w:p>
        </w:tc>
        <w:tc>
          <w:tcPr>
            <w:tcW w:w="1245" w:type="dxa"/>
            <w:vMerge w:val="restart"/>
            <w:tcBorders>
              <w:top w:val="single" w:color="000001" w:sz="4" w:space="0"/>
              <w:left w:val="single" w:color="000001" w:sz="4" w:space="0"/>
              <w:bottom w:val="single" w:color="000001" w:sz="4" w:space="0"/>
              <w:right w:val="single" w:color="00000A" w:sz="4" w:space="0"/>
            </w:tcBorders>
            <w:shd w:val="clear" w:color="auto" w:fill="auto"/>
            <w:tcMar>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固定资产</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合计</w:t>
            </w:r>
          </w:p>
        </w:tc>
        <w:tc>
          <w:tcPr>
            <w:tcW w:w="6758" w:type="dxa"/>
            <w:gridSpan w:val="7"/>
            <w:tcBorders>
              <w:top w:val="single" w:color="000001" w:sz="4" w:space="0"/>
              <w:left w:val="single" w:color="00000A" w:sz="4" w:space="0"/>
              <w:bottom w:val="single" w:color="000001" w:sz="4" w:space="0"/>
              <w:right w:val="single" w:color="000001" w:sz="4" w:space="0"/>
            </w:tcBorders>
            <w:shd w:val="clear" w:color="auto" w:fill="auto"/>
            <w:tcMar>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2160"/>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其中：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52" w:hRule="atLeast"/>
          <w:jc w:val="center"/>
        </w:trPr>
        <w:tc>
          <w:tcPr>
            <w:tcW w:w="1402" w:type="dxa"/>
            <w:vMerge w:val="continue"/>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rPr>
                <w:rFonts w:hint="eastAsia" w:ascii="仿宋_GB2312" w:hAnsi="仿宋_GB2312" w:eastAsia="仿宋_GB2312" w:cs="仿宋_GB2312"/>
                <w:sz w:val="24"/>
                <w:szCs w:val="24"/>
              </w:rPr>
            </w:pPr>
          </w:p>
        </w:tc>
        <w:tc>
          <w:tcPr>
            <w:tcW w:w="1245" w:type="dxa"/>
            <w:vMerge w:val="continue"/>
            <w:tcBorders>
              <w:top w:val="single" w:color="000001" w:sz="4" w:space="0"/>
              <w:left w:val="single" w:color="000001" w:sz="4" w:space="0"/>
              <w:bottom w:val="single" w:color="000001" w:sz="4" w:space="0"/>
              <w:right w:val="single" w:color="00000A" w:sz="4" w:space="0"/>
            </w:tcBorders>
            <w:shd w:val="clear" w:color="auto" w:fill="auto"/>
            <w:tcMar>
              <w:left w:w="14" w:type="dxa"/>
              <w:right w:w="14" w:type="dxa"/>
            </w:tcMar>
            <w:vAlign w:val="center"/>
          </w:tcPr>
          <w:p>
            <w:pPr>
              <w:rPr>
                <w:rFonts w:hint="eastAsia" w:ascii="仿宋_GB2312" w:hAnsi="仿宋_GB2312" w:eastAsia="仿宋_GB2312" w:cs="仿宋_GB2312"/>
                <w:sz w:val="24"/>
                <w:szCs w:val="24"/>
              </w:rPr>
            </w:pPr>
          </w:p>
        </w:tc>
        <w:tc>
          <w:tcPr>
            <w:tcW w:w="1854" w:type="dxa"/>
            <w:gridSpan w:val="2"/>
            <w:tcBorders>
              <w:top w:val="single" w:color="000001" w:sz="4" w:space="0"/>
              <w:left w:val="single" w:color="00000A" w:sz="4" w:space="0"/>
              <w:bottom w:val="single" w:color="000001" w:sz="4" w:space="0"/>
              <w:right w:val="single" w:color="000001" w:sz="4" w:space="0"/>
            </w:tcBorders>
            <w:shd w:val="clear" w:color="auto" w:fill="auto"/>
            <w:tcMar>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在用固定资产</w:t>
            </w:r>
          </w:p>
        </w:tc>
        <w:tc>
          <w:tcPr>
            <w:tcW w:w="1779" w:type="dxa"/>
            <w:gridSpan w:val="2"/>
            <w:tcBorders>
              <w:top w:val="single" w:color="00000A" w:sz="4" w:space="0"/>
              <w:left w:val="single" w:color="000001" w:sz="4" w:space="0"/>
              <w:bottom w:val="single" w:color="000001" w:sz="4" w:space="0"/>
              <w:right w:val="single" w:color="00000A" w:sz="4" w:space="0"/>
            </w:tcBorders>
            <w:shd w:val="clear" w:color="auto" w:fill="auto"/>
            <w:tcMar>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出租固定资产</w:t>
            </w:r>
          </w:p>
        </w:tc>
        <w:tc>
          <w:tcPr>
            <w:tcW w:w="3125" w:type="dxa"/>
            <w:gridSpan w:val="3"/>
            <w:tcBorders>
              <w:top w:val="single" w:color="00000A" w:sz="4" w:space="0"/>
              <w:left w:val="single" w:color="00000A" w:sz="4" w:space="0"/>
              <w:bottom w:val="single" w:color="000001" w:sz="4" w:space="0"/>
              <w:right w:val="single" w:color="000001" w:sz="4" w:space="0"/>
            </w:tcBorders>
            <w:shd w:val="clear" w:color="auto" w:fill="auto"/>
            <w:tcMar>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50" w:hRule="atLeast"/>
          <w:jc w:val="center"/>
        </w:trPr>
        <w:tc>
          <w:tcPr>
            <w:tcW w:w="1402"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局机关及二级机构汇总</w:t>
            </w:r>
          </w:p>
        </w:tc>
        <w:tc>
          <w:tcPr>
            <w:tcW w:w="1245" w:type="dxa"/>
            <w:tcBorders>
              <w:top w:val="single" w:color="000001" w:sz="4" w:space="0"/>
              <w:left w:val="single" w:color="000001" w:sz="4" w:space="0"/>
              <w:bottom w:val="single" w:color="000001" w:sz="4" w:space="0"/>
              <w:right w:val="single" w:color="00000A"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9574.12</w:t>
            </w:r>
          </w:p>
        </w:tc>
        <w:tc>
          <w:tcPr>
            <w:tcW w:w="1854" w:type="dxa"/>
            <w:gridSpan w:val="2"/>
            <w:tcBorders>
              <w:top w:val="single" w:color="000001" w:sz="4" w:space="0"/>
              <w:left w:val="single" w:color="00000A"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1651.33</w:t>
            </w:r>
          </w:p>
        </w:tc>
        <w:tc>
          <w:tcPr>
            <w:tcW w:w="1779" w:type="dxa"/>
            <w:gridSpan w:val="2"/>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7871.56</w:t>
            </w:r>
          </w:p>
        </w:tc>
        <w:tc>
          <w:tcPr>
            <w:tcW w:w="3125" w:type="dxa"/>
            <w:gridSpan w:val="3"/>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51.23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1402"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1、局机关</w:t>
            </w:r>
          </w:p>
        </w:tc>
        <w:tc>
          <w:tcPr>
            <w:tcW w:w="1245" w:type="dxa"/>
            <w:tcBorders>
              <w:top w:val="single" w:color="000001" w:sz="4" w:space="0"/>
              <w:left w:val="single" w:color="000001" w:sz="4" w:space="0"/>
              <w:bottom w:val="single" w:color="000001" w:sz="4" w:space="0"/>
              <w:right w:val="single" w:color="00000A"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default" w:ascii="仿宋_GB2312" w:hAnsi="仿宋_GB2312" w:eastAsia="仿宋_GB2312" w:cs="仿宋_GB2312"/>
                <w:sz w:val="24"/>
                <w:szCs w:val="24"/>
                <w:lang w:val="en-US"/>
              </w:rPr>
            </w:pPr>
            <w:r>
              <w:rPr>
                <w:rFonts w:hint="eastAsia" w:ascii="仿宋_GB2312" w:hAnsi="仿宋_GB2312" w:eastAsia="仿宋_GB2312" w:cs="仿宋_GB2312"/>
                <w:i w:val="0"/>
                <w:iCs w:val="0"/>
                <w:color w:val="000000"/>
                <w:kern w:val="0"/>
                <w:sz w:val="24"/>
                <w:szCs w:val="24"/>
                <w:u w:val="none"/>
                <w:lang w:val="en-US" w:eastAsia="zh-CN" w:bidi="ar"/>
              </w:rPr>
              <w:t>2322.39</w:t>
            </w:r>
          </w:p>
        </w:tc>
        <w:tc>
          <w:tcPr>
            <w:tcW w:w="1854" w:type="dxa"/>
            <w:gridSpan w:val="2"/>
            <w:tcBorders>
              <w:top w:val="single" w:color="000001" w:sz="4" w:space="0"/>
              <w:left w:val="single" w:color="00000A"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default" w:ascii="仿宋_GB2312" w:hAnsi="仿宋_GB2312" w:eastAsia="仿宋_GB2312" w:cs="仿宋_GB2312"/>
                <w:sz w:val="24"/>
                <w:szCs w:val="24"/>
                <w:lang w:val="en-US"/>
              </w:rPr>
            </w:pPr>
            <w:r>
              <w:rPr>
                <w:rFonts w:hint="eastAsia" w:ascii="仿宋_GB2312" w:hAnsi="仿宋_GB2312" w:eastAsia="仿宋_GB2312" w:cs="仿宋_GB2312"/>
                <w:i w:val="0"/>
                <w:iCs w:val="0"/>
                <w:color w:val="000000"/>
                <w:kern w:val="0"/>
                <w:sz w:val="24"/>
                <w:szCs w:val="24"/>
                <w:u w:val="none"/>
                <w:lang w:val="en-US" w:eastAsia="zh-CN" w:bidi="ar"/>
              </w:rPr>
              <w:t>1075.19</w:t>
            </w:r>
          </w:p>
        </w:tc>
        <w:tc>
          <w:tcPr>
            <w:tcW w:w="1779" w:type="dxa"/>
            <w:gridSpan w:val="2"/>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default" w:ascii="仿宋_GB2312" w:hAnsi="仿宋_GB2312" w:eastAsia="仿宋_GB2312" w:cs="仿宋_GB2312"/>
                <w:sz w:val="24"/>
                <w:szCs w:val="24"/>
                <w:lang w:val="en-US"/>
              </w:rPr>
            </w:pPr>
            <w:r>
              <w:rPr>
                <w:rFonts w:hint="eastAsia" w:ascii="仿宋_GB2312" w:hAnsi="仿宋_GB2312" w:eastAsia="仿宋_GB2312" w:cs="仿宋_GB2312"/>
                <w:i w:val="0"/>
                <w:iCs w:val="0"/>
                <w:color w:val="000000"/>
                <w:kern w:val="0"/>
                <w:sz w:val="24"/>
                <w:szCs w:val="24"/>
                <w:u w:val="none"/>
                <w:lang w:val="en-US" w:eastAsia="zh-CN" w:bidi="ar"/>
              </w:rPr>
              <w:t>1195.97</w:t>
            </w:r>
          </w:p>
        </w:tc>
        <w:tc>
          <w:tcPr>
            <w:tcW w:w="3125" w:type="dxa"/>
            <w:gridSpan w:val="3"/>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51.23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1402"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leftChars="0" w:right="0" w:rightChars="0"/>
              <w:textAlignment w:val="center"/>
              <w:rPr>
                <w:rFonts w:hint="eastAsia" w:ascii="仿宋_GB2312" w:hAnsi="仿宋_GB2312" w:eastAsia="仿宋_GB2312" w:cs="仿宋_GB2312"/>
                <w:kern w:val="0"/>
                <w:sz w:val="24"/>
                <w:szCs w:val="24"/>
                <w:lang w:val="en-US" w:eastAsia="zh-CN" w:bidi="ar"/>
              </w:rPr>
            </w:pPr>
            <w:r>
              <w:rPr>
                <w:rFonts w:hint="default" w:ascii="仿宋_GB2312" w:hAnsi="仿宋_GB2312" w:eastAsia="仿宋_GB2312" w:cs="仿宋_GB2312"/>
                <w:sz w:val="24"/>
                <w:szCs w:val="24"/>
                <w:lang w:val="en"/>
              </w:rPr>
              <w:t>2</w:t>
            </w:r>
            <w:r>
              <w:rPr>
                <w:rFonts w:hint="eastAsia" w:ascii="仿宋_GB2312" w:hAnsi="仿宋_GB2312" w:eastAsia="仿宋_GB2312" w:cs="仿宋_GB2312"/>
                <w:sz w:val="24"/>
                <w:szCs w:val="24"/>
                <w:lang w:val="en" w:eastAsia="zh-CN"/>
              </w:rPr>
              <w:t>、机关老干服务中心</w:t>
            </w:r>
          </w:p>
        </w:tc>
        <w:tc>
          <w:tcPr>
            <w:tcW w:w="1245" w:type="dxa"/>
            <w:tcBorders>
              <w:top w:val="single" w:color="000001" w:sz="4" w:space="0"/>
              <w:left w:val="single" w:color="000001" w:sz="4" w:space="0"/>
              <w:bottom w:val="single" w:color="000001" w:sz="4" w:space="0"/>
              <w:right w:val="single" w:color="00000A"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4.22</w:t>
            </w:r>
          </w:p>
        </w:tc>
        <w:tc>
          <w:tcPr>
            <w:tcW w:w="1854" w:type="dxa"/>
            <w:gridSpan w:val="2"/>
            <w:tcBorders>
              <w:top w:val="single" w:color="000001" w:sz="4" w:space="0"/>
              <w:left w:val="single" w:color="00000A"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4.22</w:t>
            </w:r>
          </w:p>
        </w:tc>
        <w:tc>
          <w:tcPr>
            <w:tcW w:w="1779" w:type="dxa"/>
            <w:gridSpan w:val="2"/>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0</w:t>
            </w:r>
          </w:p>
        </w:tc>
        <w:tc>
          <w:tcPr>
            <w:tcW w:w="3125" w:type="dxa"/>
            <w:gridSpan w:val="3"/>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1402"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leftChars="0" w:right="0" w:rightChars="0"/>
              <w:textAlignment w:val="center"/>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sz w:val="24"/>
                <w:szCs w:val="24"/>
                <w:lang w:val="en-US" w:eastAsia="zh-CN"/>
              </w:rPr>
              <w:t>3、投资贸易促进中心</w:t>
            </w:r>
          </w:p>
        </w:tc>
        <w:tc>
          <w:tcPr>
            <w:tcW w:w="1245" w:type="dxa"/>
            <w:tcBorders>
              <w:top w:val="single" w:color="000001" w:sz="4" w:space="0"/>
              <w:left w:val="single" w:color="000001" w:sz="4" w:space="0"/>
              <w:bottom w:val="single" w:color="000001" w:sz="4" w:space="0"/>
              <w:right w:val="single" w:color="00000A"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7235.2</w:t>
            </w:r>
          </w:p>
        </w:tc>
        <w:tc>
          <w:tcPr>
            <w:tcW w:w="1854" w:type="dxa"/>
            <w:gridSpan w:val="2"/>
            <w:tcBorders>
              <w:top w:val="single" w:color="000001" w:sz="4" w:space="0"/>
              <w:left w:val="single" w:color="00000A"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559.61</w:t>
            </w:r>
          </w:p>
        </w:tc>
        <w:tc>
          <w:tcPr>
            <w:tcW w:w="1779" w:type="dxa"/>
            <w:gridSpan w:val="2"/>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6675.59</w:t>
            </w:r>
          </w:p>
        </w:tc>
        <w:tc>
          <w:tcPr>
            <w:tcW w:w="3125" w:type="dxa"/>
            <w:gridSpan w:val="3"/>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1402"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leftChars="0" w:right="0" w:rightChars="0"/>
              <w:textAlignment w:val="center"/>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sz w:val="24"/>
                <w:szCs w:val="24"/>
                <w:lang w:val="en-US" w:eastAsia="zh-CN"/>
              </w:rPr>
              <w:t>4、投资促进事务中心</w:t>
            </w:r>
          </w:p>
        </w:tc>
        <w:tc>
          <w:tcPr>
            <w:tcW w:w="1245" w:type="dxa"/>
            <w:tcBorders>
              <w:top w:val="single" w:color="000001" w:sz="4" w:space="0"/>
              <w:left w:val="single" w:color="000001" w:sz="4" w:space="0"/>
              <w:bottom w:val="single" w:color="000001" w:sz="4" w:space="0"/>
              <w:right w:val="single" w:color="00000A"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12.31</w:t>
            </w:r>
          </w:p>
        </w:tc>
        <w:tc>
          <w:tcPr>
            <w:tcW w:w="1854" w:type="dxa"/>
            <w:gridSpan w:val="2"/>
            <w:tcBorders>
              <w:top w:val="single" w:color="000001" w:sz="4" w:space="0"/>
              <w:left w:val="single" w:color="00000A"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12.31</w:t>
            </w:r>
          </w:p>
        </w:tc>
        <w:tc>
          <w:tcPr>
            <w:tcW w:w="1779" w:type="dxa"/>
            <w:gridSpan w:val="2"/>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0</w:t>
            </w:r>
          </w:p>
        </w:tc>
        <w:tc>
          <w:tcPr>
            <w:tcW w:w="3125" w:type="dxa"/>
            <w:gridSpan w:val="3"/>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keepNext w:val="0"/>
              <w:keepLines w:val="0"/>
              <w:widowControl/>
              <w:suppressLineNumbers w:val="0"/>
              <w:jc w:val="center"/>
              <w:textAlignment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9405" w:type="dxa"/>
            <w:gridSpan w:val="9"/>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1"/>
                <w:szCs w:val="21"/>
              </w:rPr>
            </w:pPr>
            <w:r>
              <w:rPr>
                <w:rFonts w:hint="eastAsia" w:ascii="宋体" w:hAnsi="宋体" w:eastAsia="宋体" w:cs="宋体"/>
                <w:b/>
                <w:bCs/>
                <w:sz w:val="28"/>
                <w:szCs w:val="28"/>
              </w:rPr>
              <w:t>三、部门（单位）整体支出绩效自评情况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22" w:hRule="atLeast"/>
          <w:jc w:val="center"/>
        </w:trPr>
        <w:tc>
          <w:tcPr>
            <w:tcW w:w="1402" w:type="dxa"/>
            <w:vMerge w:val="restart"/>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整体支出绩效</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定性目标</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及实施计划</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完成情况</w:t>
            </w:r>
          </w:p>
        </w:tc>
        <w:tc>
          <w:tcPr>
            <w:tcW w:w="3099" w:type="dxa"/>
            <w:gridSpan w:val="3"/>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预期目标</w:t>
            </w:r>
          </w:p>
        </w:tc>
        <w:tc>
          <w:tcPr>
            <w:tcW w:w="4904" w:type="dxa"/>
            <w:gridSpan w:val="5"/>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实际完成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593" w:hRule="atLeast"/>
          <w:jc w:val="center"/>
        </w:trPr>
        <w:tc>
          <w:tcPr>
            <w:tcW w:w="1402" w:type="dxa"/>
            <w:vMerge w:val="continue"/>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rPr>
                <w:rFonts w:hint="eastAsia" w:ascii="仿宋_GB2312" w:hAnsi="仿宋_GB2312" w:eastAsia="仿宋_GB2312" w:cs="仿宋_GB2312"/>
                <w:sz w:val="24"/>
                <w:szCs w:val="24"/>
              </w:rPr>
            </w:pPr>
          </w:p>
        </w:tc>
        <w:tc>
          <w:tcPr>
            <w:tcW w:w="3099" w:type="dxa"/>
            <w:gridSpan w:val="3"/>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1、稳中求进工作总基调，贯彻落实省委、省政府“三高四新”战略和州委建设“三区两地”“五个湘西”发展思路，组织开展州级重点招商活动，大力推进产业项目招商；</w:t>
            </w:r>
          </w:p>
          <w:p>
            <w:pPr>
              <w:pStyle w:val="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right="0" w:rightChars="0"/>
              <w:jc w:val="both"/>
              <w:textAlignment w:val="center"/>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color w:val="000000"/>
                <w:sz w:val="24"/>
                <w:szCs w:val="24"/>
                <w:lang w:val="en-US" w:eastAsia="zh-CN"/>
              </w:rPr>
              <w:t>2、努力扩大对外贸易，加快壮大外贸主体，参加进博会、中非经贸博览会、国际消费品博览会、口岸博览会等国内外重点会展，推广湘西优质产品，开拓外贸国际市场，保持外贸外资持续稳定增长；</w:t>
            </w:r>
          </w:p>
          <w:p>
            <w:pPr>
              <w:pStyle w:val="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right="0" w:rightChars="0"/>
              <w:jc w:val="both"/>
              <w:textAlignment w:val="center"/>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color w:val="000000"/>
                <w:sz w:val="24"/>
                <w:szCs w:val="24"/>
                <w:lang w:val="en-US" w:eastAsia="zh-CN"/>
              </w:rPr>
              <w:t>3、搞活内贸流通，促进消费，重点培育限上商贸流通企业，加快电子商务发展；</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lang w:val="en-US" w:eastAsia="zh-CN"/>
              </w:rPr>
              <w:t>4、优化环境，规范经营秩序，推动我州经济又好又快发展。</w:t>
            </w:r>
          </w:p>
        </w:tc>
        <w:tc>
          <w:tcPr>
            <w:tcW w:w="4904" w:type="dxa"/>
            <w:gridSpan w:val="5"/>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right="0"/>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1、出台《湘西自治州优势产业精准招商行动计划（2022-2025）》，创新推进挂帅领衔、主动上门、云端隔屏“三个一批”招商模式，组织举办三场重大经贸招商活动，引进“三类500强”企业新投资项目14个；</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right="0"/>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扎实推进稳外贸“四个一”活动，首次通过中欧班列发货，出口俄罗斯金属锰货值112万元；全州50家实绩外贸企业，22家企业实现“破零倍增”兑现外贸企业奖补资金573万元。积极申报湘西高新区为中国(湖南)自由贸易试验区协同联动区，着力打造外贸产业集群发展新平台；</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right="0"/>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聚焦“政策红利”“制度红利”释放主动作为，激活消费市场，消费回暖加速，消费质量加快提升、规模不断扩大。制定了“乐享消费·幸福湘西”2022湘西州促消费系列活动方案，明确了“8大促消费”重点内容，突出节会引擎拉动效应；</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right="0"/>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4、制定《湘西州商务局优化营商环境工作方案》，列出10大任务清单，压茬式、一体化推进，共计精简缩减办事材料14份，压缩承诺办理时间67天，极大提高了服务群众、企业办事效率。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62" w:hRule="atLeast"/>
          <w:jc w:val="center"/>
        </w:trPr>
        <w:tc>
          <w:tcPr>
            <w:tcW w:w="1402" w:type="dxa"/>
            <w:vMerge w:val="restart"/>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整体支出</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绩效定量目标及实施计划完成情况</w:t>
            </w:r>
          </w:p>
        </w:tc>
        <w:tc>
          <w:tcPr>
            <w:tcW w:w="3099" w:type="dxa"/>
            <w:gridSpan w:val="3"/>
            <w:tcBorders>
              <w:top w:val="single" w:color="000001" w:sz="4" w:space="0"/>
              <w:left w:val="single" w:color="000001" w:sz="4" w:space="0"/>
              <w:bottom w:val="single" w:color="000001" w:sz="4" w:space="0"/>
              <w:right w:val="single" w:color="00000A" w:sz="4" w:space="0"/>
            </w:tcBorders>
            <w:shd w:val="clear" w:color="auto" w:fill="auto"/>
            <w:tcMar>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评价内容</w:t>
            </w:r>
          </w:p>
        </w:tc>
        <w:tc>
          <w:tcPr>
            <w:tcW w:w="2024" w:type="dxa"/>
            <w:gridSpan w:val="3"/>
            <w:tcBorders>
              <w:top w:val="single" w:color="000001" w:sz="4" w:space="0"/>
              <w:left w:val="single" w:color="00000A" w:sz="4" w:space="0"/>
              <w:bottom w:val="single" w:color="000001" w:sz="4" w:space="0"/>
              <w:right w:val="single" w:color="000001" w:sz="4" w:space="0"/>
            </w:tcBorders>
            <w:shd w:val="clear" w:color="auto" w:fill="auto"/>
            <w:tcMar>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绩效目标</w:t>
            </w:r>
          </w:p>
        </w:tc>
        <w:tc>
          <w:tcPr>
            <w:tcW w:w="2880" w:type="dxa"/>
            <w:gridSpan w:val="2"/>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02" w:hRule="atLeast"/>
          <w:jc w:val="center"/>
        </w:trPr>
        <w:tc>
          <w:tcPr>
            <w:tcW w:w="1402" w:type="dxa"/>
            <w:vMerge w:val="continue"/>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rPr>
                <w:rFonts w:hint="eastAsia" w:ascii="仿宋_GB2312" w:hAnsi="仿宋_GB2312" w:eastAsia="仿宋_GB2312" w:cs="仿宋_GB2312"/>
                <w:sz w:val="24"/>
                <w:szCs w:val="24"/>
              </w:rPr>
            </w:pPr>
          </w:p>
        </w:tc>
        <w:tc>
          <w:tcPr>
            <w:tcW w:w="1245" w:type="dxa"/>
            <w:vMerge w:val="restart"/>
            <w:tcBorders>
              <w:top w:val="single" w:color="000001" w:sz="4" w:space="0"/>
              <w:left w:val="single" w:color="000001" w:sz="4" w:space="0"/>
              <w:right w:val="single" w:color="000001" w:sz="4" w:space="0"/>
            </w:tcBorders>
            <w:shd w:val="clear" w:color="auto" w:fill="auto"/>
            <w:tcMar>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产出目标</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（部门工作实绩，包含上级部门和州委州政府布置的重点工作、实事任务等，根据部门实际进行调整细化）</w:t>
            </w:r>
          </w:p>
        </w:tc>
        <w:tc>
          <w:tcPr>
            <w:tcW w:w="961" w:type="dxa"/>
            <w:vMerge w:val="restart"/>
            <w:tcBorders>
              <w:top w:val="single" w:color="000001" w:sz="4" w:space="0"/>
              <w:left w:val="single" w:color="000001" w:sz="4" w:space="0"/>
              <w:right w:val="single" w:color="000001" w:sz="4" w:space="0"/>
            </w:tcBorders>
            <w:shd w:val="clear" w:color="auto" w:fill="auto"/>
            <w:tcMar>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数量、质量、时效、成本指标</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仿宋_GB2312" w:hAnsi="仿宋_GB2312" w:eastAsia="仿宋_GB2312" w:cs="仿宋_GB2312"/>
                <w:sz w:val="24"/>
                <w:szCs w:val="24"/>
              </w:rPr>
            </w:pPr>
          </w:p>
        </w:tc>
        <w:tc>
          <w:tcPr>
            <w:tcW w:w="893" w:type="dxa"/>
            <w:tcBorders>
              <w:top w:val="single" w:color="000001" w:sz="4" w:space="0"/>
              <w:left w:val="single" w:color="000001" w:sz="4" w:space="0"/>
              <w:bottom w:val="single" w:color="000001" w:sz="4" w:space="0"/>
              <w:right w:val="single" w:color="00000A" w:sz="4" w:space="0"/>
            </w:tcBorders>
            <w:shd w:val="clear" w:color="auto" w:fill="auto"/>
            <w:tcMar>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指标1：</w:t>
            </w:r>
            <w:r>
              <w:rPr>
                <w:rFonts w:hint="eastAsia" w:ascii="仿宋_GB2312" w:hAnsi="仿宋_GB2312" w:eastAsia="仿宋_GB2312" w:cs="仿宋_GB2312"/>
                <w:sz w:val="24"/>
                <w:szCs w:val="24"/>
                <w:lang w:eastAsia="zh-CN"/>
              </w:rPr>
              <w:t>在职人员控制率</w:t>
            </w:r>
          </w:p>
        </w:tc>
        <w:tc>
          <w:tcPr>
            <w:tcW w:w="2024" w:type="dxa"/>
            <w:gridSpan w:val="3"/>
            <w:tcBorders>
              <w:top w:val="single" w:color="000001" w:sz="4" w:space="0"/>
              <w:left w:val="single" w:color="00000A" w:sz="4" w:space="0"/>
              <w:bottom w:val="single" w:color="000001" w:sz="4" w:space="0"/>
              <w:right w:val="single" w:color="000001" w:sz="4" w:space="0"/>
            </w:tcBorders>
            <w:shd w:val="clear" w:color="auto" w:fill="auto"/>
            <w:tcMar>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158" w:right="0" w:hanging="158"/>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color w:val="000000"/>
                <w:kern w:val="0"/>
                <w:sz w:val="24"/>
                <w:szCs w:val="24"/>
                <w:lang w:val="en-US" w:eastAsia="zh-CN" w:bidi="ar"/>
              </w:rPr>
              <w:t>≤100%</w:t>
            </w:r>
          </w:p>
        </w:tc>
        <w:tc>
          <w:tcPr>
            <w:tcW w:w="2880" w:type="dxa"/>
            <w:gridSpan w:val="2"/>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color w:val="000000"/>
                <w:kern w:val="0"/>
                <w:sz w:val="24"/>
                <w:szCs w:val="24"/>
                <w:lang w:val="en-US" w:eastAsia="zh-CN" w:bidi="ar"/>
              </w:rPr>
              <w:t>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402" w:type="dxa"/>
            <w:vMerge w:val="continue"/>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rPr>
                <w:rFonts w:hint="eastAsia" w:ascii="仿宋_GB2312" w:hAnsi="仿宋_GB2312" w:eastAsia="仿宋_GB2312" w:cs="仿宋_GB2312"/>
                <w:sz w:val="24"/>
                <w:szCs w:val="24"/>
              </w:rPr>
            </w:pPr>
          </w:p>
        </w:tc>
        <w:tc>
          <w:tcPr>
            <w:tcW w:w="1245" w:type="dxa"/>
            <w:vMerge w:val="continue"/>
            <w:tcBorders>
              <w:left w:val="single" w:color="000001" w:sz="4" w:space="0"/>
              <w:right w:val="single" w:color="000001" w:sz="4" w:space="0"/>
            </w:tcBorders>
            <w:shd w:val="clear" w:color="auto" w:fill="auto"/>
            <w:tcMar>
              <w:left w:w="14" w:type="dxa"/>
              <w:right w:w="14" w:type="dxa"/>
            </w:tcMar>
            <w:vAlign w:val="center"/>
          </w:tcPr>
          <w:p>
            <w:pPr>
              <w:rPr>
                <w:rFonts w:hint="eastAsia" w:ascii="仿宋_GB2312" w:hAnsi="仿宋_GB2312" w:eastAsia="仿宋_GB2312" w:cs="仿宋_GB2312"/>
                <w:sz w:val="24"/>
                <w:szCs w:val="24"/>
              </w:rPr>
            </w:pPr>
          </w:p>
        </w:tc>
        <w:tc>
          <w:tcPr>
            <w:tcW w:w="961" w:type="dxa"/>
            <w:vMerge w:val="continue"/>
            <w:tcBorders>
              <w:left w:val="single" w:color="000001" w:sz="4" w:space="0"/>
              <w:right w:val="single" w:color="000001" w:sz="4" w:space="0"/>
            </w:tcBorders>
            <w:shd w:val="clear" w:color="auto" w:fill="auto"/>
            <w:tcMar>
              <w:left w:w="14" w:type="dxa"/>
              <w:right w:w="14" w:type="dxa"/>
            </w:tcMar>
            <w:vAlign w:val="center"/>
          </w:tcPr>
          <w:p>
            <w:pPr>
              <w:rPr>
                <w:rFonts w:hint="eastAsia" w:ascii="仿宋_GB2312" w:hAnsi="仿宋_GB2312" w:eastAsia="仿宋_GB2312" w:cs="仿宋_GB2312"/>
                <w:sz w:val="24"/>
                <w:szCs w:val="24"/>
              </w:rPr>
            </w:pPr>
          </w:p>
        </w:tc>
        <w:tc>
          <w:tcPr>
            <w:tcW w:w="893" w:type="dxa"/>
            <w:tcBorders>
              <w:top w:val="single" w:color="000001" w:sz="4" w:space="0"/>
              <w:left w:val="single" w:color="000001" w:sz="4" w:space="0"/>
              <w:bottom w:val="single" w:color="000001" w:sz="4" w:space="0"/>
              <w:right w:val="single" w:color="00000A" w:sz="4" w:space="0"/>
            </w:tcBorders>
            <w:shd w:val="clear" w:color="auto" w:fill="auto"/>
            <w:tcMar>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textAlignment w:val="center"/>
              <w:rPr>
                <w:rFonts w:hint="eastAsia" w:ascii="仿宋_GB2312" w:hAnsi="仿宋_GB2312" w:eastAsia="仿宋_GB2312" w:cs="仿宋_GB2312"/>
                <w:sz w:val="24"/>
                <w:szCs w:val="24"/>
                <w:highlight w:val="yellow"/>
                <w:lang w:val="en-US" w:eastAsia="zh-CN"/>
              </w:rPr>
            </w:pPr>
            <w:r>
              <w:rPr>
                <w:rFonts w:hint="eastAsia" w:ascii="仿宋_GB2312" w:hAnsi="仿宋_GB2312" w:eastAsia="仿宋_GB2312" w:cs="仿宋_GB2312"/>
                <w:sz w:val="24"/>
                <w:szCs w:val="24"/>
              </w:rPr>
              <w:t>指标</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w:t>
            </w:r>
            <w:r>
              <w:rPr>
                <w:rFonts w:hint="eastAsia" w:ascii="仿宋_GB2312" w:hAnsi="仿宋_GB2312" w:eastAsia="仿宋_GB2312" w:cs="仿宋_GB2312"/>
                <w:color w:val="000000"/>
                <w:kern w:val="0"/>
                <w:sz w:val="24"/>
                <w:szCs w:val="24"/>
                <w:lang w:val="en-US" w:eastAsia="zh-CN" w:bidi="ar"/>
              </w:rPr>
              <w:t>引进“三类500强”新投资项目</w:t>
            </w:r>
            <w:r>
              <w:rPr>
                <w:rFonts w:hint="eastAsia" w:ascii="仿宋_GB2312" w:hAnsi="仿宋_GB2312" w:eastAsia="仿宋_GB2312" w:cs="仿宋_GB2312"/>
                <w:sz w:val="24"/>
                <w:szCs w:val="24"/>
                <w:lang w:val="en-US" w:eastAsia="zh-CN"/>
              </w:rPr>
              <w:t>（个）</w:t>
            </w:r>
          </w:p>
        </w:tc>
        <w:tc>
          <w:tcPr>
            <w:tcW w:w="2024" w:type="dxa"/>
            <w:gridSpan w:val="3"/>
            <w:tcBorders>
              <w:top w:val="single" w:color="000001" w:sz="4" w:space="0"/>
              <w:left w:val="single" w:color="00000A" w:sz="4" w:space="0"/>
              <w:bottom w:val="single" w:color="000001" w:sz="4" w:space="0"/>
              <w:right w:val="single" w:color="000001" w:sz="4" w:space="0"/>
            </w:tcBorders>
            <w:shd w:val="clear" w:color="auto" w:fill="auto"/>
            <w:tcMar>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1226" w:firstLineChars="511"/>
              <w:jc w:val="both"/>
              <w:textAlignment w:val="center"/>
              <w:rPr>
                <w:rFonts w:hint="eastAsia" w:ascii="仿宋_GB2312" w:hAnsi="仿宋_GB2312" w:eastAsia="仿宋_GB2312" w:cs="仿宋_GB2312"/>
                <w:color w:val="FF0000"/>
                <w:sz w:val="24"/>
                <w:szCs w:val="24"/>
                <w:highlight w:val="yellow"/>
              </w:rPr>
            </w:pPr>
            <w:r>
              <w:rPr>
                <w:rFonts w:hint="eastAsia" w:ascii="仿宋_GB2312" w:hAnsi="仿宋_GB2312" w:eastAsia="仿宋_GB2312" w:cs="仿宋_GB2312"/>
                <w:color w:val="000000"/>
                <w:kern w:val="0"/>
                <w:sz w:val="24"/>
                <w:szCs w:val="24"/>
                <w:lang w:val="en-US" w:eastAsia="zh-CN" w:bidi="ar"/>
              </w:rPr>
              <w:t>5</w:t>
            </w:r>
          </w:p>
        </w:tc>
        <w:tc>
          <w:tcPr>
            <w:tcW w:w="2880" w:type="dxa"/>
            <w:gridSpan w:val="2"/>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仿宋_GB2312" w:hAnsi="仿宋_GB2312" w:eastAsia="仿宋_GB2312" w:cs="仿宋_GB2312"/>
                <w:color w:val="FF0000"/>
                <w:sz w:val="24"/>
                <w:szCs w:val="24"/>
                <w:highlight w:val="yellow"/>
                <w:lang w:val="en-US"/>
              </w:rPr>
            </w:pPr>
            <w:r>
              <w:rPr>
                <w:rFonts w:hint="eastAsia" w:ascii="仿宋_GB2312" w:hAnsi="仿宋_GB2312" w:eastAsia="仿宋_GB2312" w:cs="仿宋_GB2312"/>
                <w:color w:val="000000"/>
                <w:kern w:val="0"/>
                <w:sz w:val="24"/>
                <w:szCs w:val="24"/>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82" w:hRule="atLeast"/>
          <w:jc w:val="center"/>
        </w:trPr>
        <w:tc>
          <w:tcPr>
            <w:tcW w:w="1402" w:type="dxa"/>
            <w:vMerge w:val="continue"/>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rPr>
                <w:rFonts w:hint="eastAsia" w:ascii="仿宋_GB2312" w:hAnsi="仿宋_GB2312" w:eastAsia="仿宋_GB2312" w:cs="仿宋_GB2312"/>
                <w:sz w:val="24"/>
                <w:szCs w:val="24"/>
              </w:rPr>
            </w:pPr>
          </w:p>
        </w:tc>
        <w:tc>
          <w:tcPr>
            <w:tcW w:w="1245" w:type="dxa"/>
            <w:vMerge w:val="continue"/>
            <w:tcBorders>
              <w:left w:val="single" w:color="000001" w:sz="4" w:space="0"/>
              <w:right w:val="single" w:color="000001" w:sz="4" w:space="0"/>
            </w:tcBorders>
            <w:shd w:val="clear" w:color="auto" w:fill="auto"/>
            <w:tcMar>
              <w:left w:w="14" w:type="dxa"/>
              <w:right w:w="14" w:type="dxa"/>
            </w:tcMar>
            <w:vAlign w:val="center"/>
          </w:tcPr>
          <w:p>
            <w:pPr>
              <w:rPr>
                <w:rFonts w:hint="eastAsia" w:ascii="仿宋_GB2312" w:hAnsi="仿宋_GB2312" w:eastAsia="仿宋_GB2312" w:cs="仿宋_GB2312"/>
                <w:sz w:val="24"/>
                <w:szCs w:val="24"/>
              </w:rPr>
            </w:pPr>
          </w:p>
        </w:tc>
        <w:tc>
          <w:tcPr>
            <w:tcW w:w="961" w:type="dxa"/>
            <w:vMerge w:val="continue"/>
            <w:tcBorders>
              <w:left w:val="single" w:color="000001" w:sz="4" w:space="0"/>
              <w:right w:val="single" w:color="000001" w:sz="4" w:space="0"/>
            </w:tcBorders>
            <w:shd w:val="clear" w:color="auto" w:fill="auto"/>
            <w:tcMar>
              <w:left w:w="14" w:type="dxa"/>
              <w:right w:w="14" w:type="dxa"/>
            </w:tcMar>
            <w:vAlign w:val="center"/>
          </w:tcPr>
          <w:p>
            <w:pPr>
              <w:rPr>
                <w:rFonts w:hint="eastAsia" w:ascii="仿宋_GB2312" w:hAnsi="仿宋_GB2312" w:eastAsia="仿宋_GB2312" w:cs="仿宋_GB2312"/>
                <w:sz w:val="24"/>
                <w:szCs w:val="24"/>
              </w:rPr>
            </w:pPr>
          </w:p>
        </w:tc>
        <w:tc>
          <w:tcPr>
            <w:tcW w:w="893" w:type="dxa"/>
            <w:tcBorders>
              <w:top w:val="single" w:color="000001" w:sz="4" w:space="0"/>
              <w:left w:val="single" w:color="000001" w:sz="4" w:space="0"/>
              <w:bottom w:val="single" w:color="000001" w:sz="4" w:space="0"/>
              <w:right w:val="single" w:color="00000A" w:sz="4" w:space="0"/>
            </w:tcBorders>
            <w:shd w:val="clear" w:color="auto" w:fill="auto"/>
            <w:tcMar>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指标</w:t>
            </w: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“三公经费”控制率</w:t>
            </w:r>
          </w:p>
        </w:tc>
        <w:tc>
          <w:tcPr>
            <w:tcW w:w="2024" w:type="dxa"/>
            <w:gridSpan w:val="3"/>
            <w:tcBorders>
              <w:top w:val="single" w:color="000001" w:sz="4" w:space="0"/>
              <w:left w:val="single" w:color="00000A" w:sz="4" w:space="0"/>
              <w:bottom w:val="single" w:color="000001" w:sz="4" w:space="0"/>
              <w:right w:val="single" w:color="000001" w:sz="4" w:space="0"/>
            </w:tcBorders>
            <w:shd w:val="clear" w:color="auto" w:fill="auto"/>
            <w:tcMar>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1226" w:firstLineChars="511"/>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≤100%</w:t>
            </w:r>
          </w:p>
        </w:tc>
        <w:tc>
          <w:tcPr>
            <w:tcW w:w="2880" w:type="dxa"/>
            <w:gridSpan w:val="2"/>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1226" w:firstLineChars="511"/>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82" w:hRule="atLeast"/>
          <w:jc w:val="center"/>
        </w:trPr>
        <w:tc>
          <w:tcPr>
            <w:tcW w:w="1402" w:type="dxa"/>
            <w:vMerge w:val="continue"/>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rPr>
                <w:rFonts w:hint="eastAsia" w:ascii="仿宋_GB2312" w:hAnsi="仿宋_GB2312" w:eastAsia="仿宋_GB2312" w:cs="仿宋_GB2312"/>
                <w:sz w:val="24"/>
                <w:szCs w:val="24"/>
              </w:rPr>
            </w:pPr>
          </w:p>
        </w:tc>
        <w:tc>
          <w:tcPr>
            <w:tcW w:w="1245" w:type="dxa"/>
            <w:vMerge w:val="continue"/>
            <w:tcBorders>
              <w:left w:val="single" w:color="000001" w:sz="4" w:space="0"/>
              <w:bottom w:val="single" w:color="000001" w:sz="4" w:space="0"/>
              <w:right w:val="single" w:color="000001" w:sz="4" w:space="0"/>
            </w:tcBorders>
            <w:shd w:val="clear" w:color="auto" w:fill="auto"/>
            <w:tcMar>
              <w:left w:w="14" w:type="dxa"/>
              <w:right w:w="14" w:type="dxa"/>
            </w:tcMar>
            <w:vAlign w:val="center"/>
          </w:tcPr>
          <w:p>
            <w:pPr>
              <w:rPr>
                <w:rFonts w:hint="eastAsia" w:ascii="仿宋_GB2312" w:hAnsi="仿宋_GB2312" w:eastAsia="仿宋_GB2312" w:cs="仿宋_GB2312"/>
                <w:sz w:val="24"/>
                <w:szCs w:val="24"/>
              </w:rPr>
            </w:pPr>
          </w:p>
        </w:tc>
        <w:tc>
          <w:tcPr>
            <w:tcW w:w="961" w:type="dxa"/>
            <w:vMerge w:val="continue"/>
            <w:tcBorders>
              <w:left w:val="single" w:color="000001" w:sz="4" w:space="0"/>
              <w:bottom w:val="single" w:color="000001" w:sz="4" w:space="0"/>
              <w:right w:val="single" w:color="000001" w:sz="4" w:space="0"/>
            </w:tcBorders>
            <w:shd w:val="clear" w:color="auto" w:fill="auto"/>
            <w:tcMar>
              <w:left w:w="14" w:type="dxa"/>
              <w:right w:w="14" w:type="dxa"/>
            </w:tcMar>
            <w:vAlign w:val="center"/>
          </w:tcPr>
          <w:p>
            <w:pPr>
              <w:rPr>
                <w:rFonts w:hint="eastAsia" w:ascii="仿宋_GB2312" w:hAnsi="仿宋_GB2312" w:eastAsia="仿宋_GB2312" w:cs="仿宋_GB2312"/>
                <w:sz w:val="24"/>
                <w:szCs w:val="24"/>
              </w:rPr>
            </w:pPr>
          </w:p>
        </w:tc>
        <w:tc>
          <w:tcPr>
            <w:tcW w:w="893" w:type="dxa"/>
            <w:tcBorders>
              <w:top w:val="single" w:color="000001" w:sz="4" w:space="0"/>
              <w:left w:val="single" w:color="000001" w:sz="4" w:space="0"/>
              <w:bottom w:val="single" w:color="000001" w:sz="4" w:space="0"/>
              <w:right w:val="single" w:color="00000A" w:sz="4" w:space="0"/>
            </w:tcBorders>
            <w:shd w:val="clear" w:color="auto" w:fill="auto"/>
            <w:tcMar>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指标4：省级及州级项目履约率</w:t>
            </w:r>
          </w:p>
        </w:tc>
        <w:tc>
          <w:tcPr>
            <w:tcW w:w="2024" w:type="dxa"/>
            <w:gridSpan w:val="3"/>
            <w:tcBorders>
              <w:top w:val="single" w:color="000001" w:sz="4" w:space="0"/>
              <w:left w:val="single" w:color="00000A" w:sz="4" w:space="0"/>
              <w:bottom w:val="single" w:color="000001" w:sz="4" w:space="0"/>
              <w:right w:val="single" w:color="000001" w:sz="4" w:space="0"/>
            </w:tcBorders>
            <w:shd w:val="clear" w:color="auto" w:fill="auto"/>
            <w:tcMar>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right="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2020-2021年</w:t>
            </w:r>
            <w:r>
              <w:rPr>
                <w:rFonts w:hint="eastAsia" w:ascii="仿宋_GB2312" w:hAnsi="仿宋_GB2312" w:eastAsia="仿宋_GB2312" w:cs="仿宋_GB2312"/>
                <w:sz w:val="24"/>
                <w:szCs w:val="24"/>
                <w:lang w:val="en-US" w:eastAsia="zh-CN"/>
              </w:rPr>
              <w:t>省级及州级项目履约率分别为90%、70%以上</w:t>
            </w:r>
          </w:p>
        </w:tc>
        <w:tc>
          <w:tcPr>
            <w:tcW w:w="2880" w:type="dxa"/>
            <w:gridSpan w:val="2"/>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right="0"/>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2020-2021年</w:t>
            </w:r>
            <w:r>
              <w:rPr>
                <w:rFonts w:hint="eastAsia" w:ascii="仿宋_GB2312" w:hAnsi="仿宋_GB2312" w:eastAsia="仿宋_GB2312" w:cs="仿宋_GB2312"/>
                <w:sz w:val="24"/>
                <w:szCs w:val="24"/>
                <w:lang w:val="en-US" w:eastAsia="zh-CN"/>
              </w:rPr>
              <w:t>省级及州级项目履约率分别为100%、88.5%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82" w:hRule="atLeast"/>
          <w:jc w:val="center"/>
        </w:trPr>
        <w:tc>
          <w:tcPr>
            <w:tcW w:w="1402" w:type="dxa"/>
            <w:vMerge w:val="continue"/>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rPr>
                <w:rFonts w:hint="eastAsia" w:ascii="仿宋_GB2312" w:hAnsi="仿宋_GB2312" w:eastAsia="仿宋_GB2312" w:cs="仿宋_GB2312"/>
                <w:sz w:val="24"/>
                <w:szCs w:val="24"/>
              </w:rPr>
            </w:pPr>
          </w:p>
        </w:tc>
        <w:tc>
          <w:tcPr>
            <w:tcW w:w="1245" w:type="dxa"/>
            <w:vMerge w:val="continue"/>
            <w:tcBorders>
              <w:left w:val="single" w:color="000001" w:sz="4" w:space="0"/>
              <w:bottom w:val="single" w:color="000001" w:sz="4" w:space="0"/>
              <w:right w:val="single" w:color="000001" w:sz="4" w:space="0"/>
            </w:tcBorders>
            <w:shd w:val="clear" w:color="auto" w:fill="auto"/>
            <w:tcMar>
              <w:left w:w="14" w:type="dxa"/>
              <w:right w:w="14" w:type="dxa"/>
            </w:tcMar>
            <w:vAlign w:val="center"/>
          </w:tcPr>
          <w:p>
            <w:pPr>
              <w:rPr>
                <w:rFonts w:hint="eastAsia" w:ascii="仿宋_GB2312" w:hAnsi="仿宋_GB2312" w:eastAsia="仿宋_GB2312" w:cs="仿宋_GB2312"/>
                <w:sz w:val="24"/>
                <w:szCs w:val="24"/>
              </w:rPr>
            </w:pPr>
          </w:p>
        </w:tc>
        <w:tc>
          <w:tcPr>
            <w:tcW w:w="961" w:type="dxa"/>
            <w:vMerge w:val="continue"/>
            <w:tcBorders>
              <w:left w:val="single" w:color="000001" w:sz="4" w:space="0"/>
              <w:bottom w:val="single" w:color="000001" w:sz="4" w:space="0"/>
              <w:right w:val="single" w:color="000001" w:sz="4" w:space="0"/>
            </w:tcBorders>
            <w:shd w:val="clear" w:color="auto" w:fill="auto"/>
            <w:tcMar>
              <w:left w:w="14" w:type="dxa"/>
              <w:right w:w="14" w:type="dxa"/>
            </w:tcMar>
            <w:vAlign w:val="center"/>
          </w:tcPr>
          <w:p>
            <w:pPr>
              <w:rPr>
                <w:rFonts w:hint="eastAsia" w:ascii="仿宋_GB2312" w:hAnsi="仿宋_GB2312" w:eastAsia="仿宋_GB2312" w:cs="仿宋_GB2312"/>
                <w:sz w:val="24"/>
                <w:szCs w:val="24"/>
              </w:rPr>
            </w:pPr>
          </w:p>
        </w:tc>
        <w:tc>
          <w:tcPr>
            <w:tcW w:w="893" w:type="dxa"/>
            <w:tcBorders>
              <w:top w:val="single" w:color="000001" w:sz="4" w:space="0"/>
              <w:left w:val="single" w:color="000001" w:sz="4" w:space="0"/>
              <w:bottom w:val="single" w:color="000001" w:sz="4" w:space="0"/>
              <w:right w:val="single" w:color="00000A" w:sz="4" w:space="0"/>
            </w:tcBorders>
            <w:shd w:val="clear" w:color="auto" w:fill="auto"/>
            <w:tcMar>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指标4：项目是否按时完成</w:t>
            </w:r>
          </w:p>
        </w:tc>
        <w:tc>
          <w:tcPr>
            <w:tcW w:w="2024" w:type="dxa"/>
            <w:gridSpan w:val="3"/>
            <w:tcBorders>
              <w:top w:val="single" w:color="000001" w:sz="4" w:space="0"/>
              <w:left w:val="single" w:color="00000A" w:sz="4" w:space="0"/>
              <w:bottom w:val="single" w:color="000001" w:sz="4" w:space="0"/>
              <w:right w:val="single" w:color="000001" w:sz="4" w:space="0"/>
            </w:tcBorders>
            <w:shd w:val="clear" w:color="auto" w:fill="auto"/>
            <w:tcMar>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1226" w:firstLineChars="511"/>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是</w:t>
            </w:r>
          </w:p>
        </w:tc>
        <w:tc>
          <w:tcPr>
            <w:tcW w:w="2880" w:type="dxa"/>
            <w:gridSpan w:val="2"/>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1226" w:firstLineChars="511"/>
              <w:jc w:val="both"/>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67" w:hRule="atLeast"/>
          <w:jc w:val="center"/>
        </w:trPr>
        <w:tc>
          <w:tcPr>
            <w:tcW w:w="1402" w:type="dxa"/>
            <w:vMerge w:val="continue"/>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rPr>
                <w:rFonts w:hint="eastAsia" w:ascii="仿宋_GB2312" w:hAnsi="仿宋_GB2312" w:eastAsia="仿宋_GB2312" w:cs="仿宋_GB2312"/>
                <w:sz w:val="24"/>
                <w:szCs w:val="24"/>
              </w:rPr>
            </w:pPr>
          </w:p>
        </w:tc>
        <w:tc>
          <w:tcPr>
            <w:tcW w:w="1245" w:type="dxa"/>
            <w:vMerge w:val="restart"/>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效益目标</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（预期实现的效益）</w:t>
            </w:r>
          </w:p>
        </w:tc>
        <w:tc>
          <w:tcPr>
            <w:tcW w:w="961" w:type="dxa"/>
            <w:vMerge w:val="restart"/>
            <w:tcBorders>
              <w:top w:val="single" w:color="000001" w:sz="4" w:space="0"/>
              <w:left w:val="single" w:color="000001" w:sz="4" w:space="0"/>
              <w:right w:val="single" w:color="000001" w:sz="4" w:space="0"/>
            </w:tcBorders>
            <w:shd w:val="clear" w:color="auto" w:fill="auto"/>
            <w:tcMar>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社会、经济、生态效益</w:t>
            </w:r>
          </w:p>
        </w:tc>
        <w:tc>
          <w:tcPr>
            <w:tcW w:w="893" w:type="dxa"/>
            <w:tcBorders>
              <w:top w:val="single" w:color="000001" w:sz="4" w:space="0"/>
              <w:left w:val="single" w:color="000001" w:sz="4" w:space="0"/>
              <w:bottom w:val="single" w:color="000001" w:sz="4" w:space="0"/>
              <w:right w:val="single" w:color="00000A" w:sz="4" w:space="0"/>
            </w:tcBorders>
            <w:shd w:val="clear" w:color="auto" w:fill="auto"/>
            <w:tcMar>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left"/>
              <w:textAlignment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color w:val="000000"/>
                <w:sz w:val="24"/>
                <w:szCs w:val="24"/>
              </w:rPr>
              <w:t>指标</w:t>
            </w:r>
            <w:r>
              <w:rPr>
                <w:rFonts w:hint="eastAsia" w:ascii="仿宋_GB2312" w:hAnsi="仿宋_GB2312" w:eastAsia="仿宋_GB2312" w:cs="仿宋_GB2312"/>
                <w:sz w:val="24"/>
                <w:szCs w:val="24"/>
              </w:rPr>
              <w:t>1：</w:t>
            </w:r>
            <w:r>
              <w:rPr>
                <w:rFonts w:hint="eastAsia" w:ascii="仿宋_GB2312" w:hAnsi="仿宋_GB2312" w:eastAsia="仿宋_GB2312" w:cs="仿宋_GB2312"/>
                <w:color w:val="000000"/>
                <w:kern w:val="0"/>
                <w:sz w:val="24"/>
                <w:szCs w:val="24"/>
                <w:lang w:val="en-US" w:eastAsia="zh-CN" w:bidi="ar"/>
              </w:rPr>
              <w:t>引进省外境内资金</w:t>
            </w:r>
          </w:p>
        </w:tc>
        <w:tc>
          <w:tcPr>
            <w:tcW w:w="2024" w:type="dxa"/>
            <w:gridSpan w:val="3"/>
            <w:tcBorders>
              <w:top w:val="single" w:color="000001" w:sz="4" w:space="0"/>
              <w:left w:val="single" w:color="00000A" w:sz="4" w:space="0"/>
              <w:bottom w:val="single" w:color="000001" w:sz="4" w:space="0"/>
              <w:right w:val="single" w:color="000001" w:sz="4" w:space="0"/>
            </w:tcBorders>
            <w:shd w:val="clear" w:color="auto" w:fill="auto"/>
            <w:tcMar>
              <w:left w:w="14" w:type="dxa"/>
              <w:right w:w="14" w:type="dxa"/>
            </w:tcMar>
            <w:vAlign w:val="center"/>
          </w:tcPr>
          <w:p>
            <w:pPr>
              <w:pStyle w:val="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right="0" w:rightChars="0" w:firstLine="240" w:firstLineChars="100"/>
              <w:jc w:val="left"/>
              <w:textAlignment w:val="center"/>
              <w:rPr>
                <w:rFonts w:hint="eastAsia" w:ascii="仿宋_GB2312" w:hAnsi="仿宋_GB2312" w:eastAsia="仿宋_GB2312" w:cs="仿宋_GB2312"/>
                <w:color w:val="000000"/>
                <w:kern w:val="0"/>
                <w:sz w:val="24"/>
                <w:szCs w:val="24"/>
                <w:lang w:val="en-US" w:eastAsia="zh-CN" w:bidi="ar"/>
              </w:rPr>
            </w:pPr>
          </w:p>
          <w:p>
            <w:pPr>
              <w:pStyle w:val="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right="0" w:rightChars="0" w:firstLine="240" w:firstLineChars="10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全年招商引资引进省外境内资金204亿人民币</w:t>
            </w:r>
          </w:p>
        </w:tc>
        <w:tc>
          <w:tcPr>
            <w:tcW w:w="2880" w:type="dxa"/>
            <w:gridSpan w:val="2"/>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right="0" w:rightChars="0" w:firstLine="240" w:firstLineChars="10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1、</w:t>
            </w:r>
            <w:r>
              <w:rPr>
                <w:rFonts w:hint="eastAsia" w:ascii="仿宋_GB2312" w:hAnsi="仿宋_GB2312" w:eastAsia="仿宋_GB2312" w:cs="仿宋_GB2312"/>
                <w:color w:val="000000"/>
                <w:kern w:val="0"/>
                <w:sz w:val="24"/>
                <w:szCs w:val="24"/>
                <w:lang w:val="en" w:eastAsia="zh-CN" w:bidi="ar"/>
              </w:rPr>
              <w:t>1-</w:t>
            </w:r>
            <w:r>
              <w:rPr>
                <w:rFonts w:hint="eastAsia" w:ascii="仿宋_GB2312" w:hAnsi="仿宋_GB2312" w:eastAsia="仿宋_GB2312" w:cs="仿宋_GB2312"/>
                <w:color w:val="000000"/>
                <w:kern w:val="0"/>
                <w:sz w:val="24"/>
                <w:szCs w:val="24"/>
                <w:lang w:val="en-US" w:eastAsia="zh-CN" w:bidi="ar"/>
              </w:rPr>
              <w:t>12</w:t>
            </w:r>
            <w:r>
              <w:rPr>
                <w:rFonts w:hint="eastAsia" w:ascii="仿宋_GB2312" w:hAnsi="仿宋_GB2312" w:eastAsia="仿宋_GB2312" w:cs="仿宋_GB2312"/>
                <w:color w:val="000000"/>
                <w:kern w:val="0"/>
                <w:sz w:val="24"/>
                <w:szCs w:val="24"/>
                <w:lang w:val="en" w:eastAsia="zh-CN" w:bidi="ar"/>
              </w:rPr>
              <w:t>月, 全州引进省外境内资金</w:t>
            </w:r>
            <w:r>
              <w:rPr>
                <w:rFonts w:hint="eastAsia" w:ascii="仿宋_GB2312" w:hAnsi="仿宋_GB2312" w:eastAsia="仿宋_GB2312" w:cs="仿宋_GB2312"/>
                <w:color w:val="000000"/>
                <w:kern w:val="0"/>
                <w:sz w:val="24"/>
                <w:szCs w:val="24"/>
                <w:lang w:val="en-US" w:eastAsia="zh-CN" w:bidi="ar"/>
              </w:rPr>
              <w:t>208.7</w:t>
            </w:r>
            <w:r>
              <w:rPr>
                <w:rFonts w:hint="eastAsia" w:ascii="仿宋_GB2312" w:hAnsi="仿宋_GB2312" w:eastAsia="仿宋_GB2312" w:cs="仿宋_GB2312"/>
                <w:color w:val="000000"/>
                <w:kern w:val="0"/>
                <w:sz w:val="24"/>
                <w:szCs w:val="24"/>
                <w:lang w:val="en" w:eastAsia="zh-CN" w:bidi="ar"/>
              </w:rPr>
              <w:t>亿元，同比增长</w:t>
            </w:r>
            <w:r>
              <w:rPr>
                <w:rFonts w:hint="eastAsia" w:ascii="仿宋_GB2312" w:hAnsi="仿宋_GB2312" w:eastAsia="仿宋_GB2312" w:cs="仿宋_GB2312"/>
                <w:color w:val="000000"/>
                <w:kern w:val="0"/>
                <w:sz w:val="24"/>
                <w:szCs w:val="24"/>
                <w:lang w:val="en-US" w:eastAsia="zh-CN" w:bidi="ar"/>
              </w:rPr>
              <w:t>22.7</w:t>
            </w:r>
            <w:r>
              <w:rPr>
                <w:rFonts w:hint="eastAsia" w:ascii="仿宋_GB2312" w:hAnsi="仿宋_GB2312" w:eastAsia="仿宋_GB2312" w:cs="仿宋_GB2312"/>
                <w:color w:val="000000"/>
                <w:kern w:val="0"/>
                <w:sz w:val="24"/>
                <w:szCs w:val="24"/>
                <w:lang w:val="en"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07" w:hRule="atLeast"/>
          <w:jc w:val="center"/>
        </w:trPr>
        <w:tc>
          <w:tcPr>
            <w:tcW w:w="1402" w:type="dxa"/>
            <w:vMerge w:val="continue"/>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rPr>
                <w:rFonts w:hint="eastAsia" w:ascii="仿宋_GB2312" w:hAnsi="仿宋_GB2312" w:eastAsia="仿宋_GB2312" w:cs="仿宋_GB2312"/>
                <w:sz w:val="24"/>
                <w:szCs w:val="24"/>
              </w:rPr>
            </w:pPr>
          </w:p>
        </w:tc>
        <w:tc>
          <w:tcPr>
            <w:tcW w:w="1245" w:type="dxa"/>
            <w:vMerge w:val="continue"/>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rPr>
                <w:rFonts w:hint="eastAsia" w:ascii="仿宋_GB2312" w:hAnsi="仿宋_GB2312" w:eastAsia="仿宋_GB2312" w:cs="仿宋_GB2312"/>
                <w:sz w:val="24"/>
                <w:szCs w:val="24"/>
              </w:rPr>
            </w:pPr>
          </w:p>
        </w:tc>
        <w:tc>
          <w:tcPr>
            <w:tcW w:w="961" w:type="dxa"/>
            <w:vMerge w:val="continue"/>
            <w:tcBorders>
              <w:left w:val="single" w:color="000001" w:sz="4" w:space="0"/>
              <w:right w:val="single" w:color="000001" w:sz="4" w:space="0"/>
            </w:tcBorders>
            <w:shd w:val="clear" w:color="auto" w:fill="auto"/>
            <w:tcMar>
              <w:left w:w="14" w:type="dxa"/>
              <w:right w:w="14" w:type="dxa"/>
            </w:tcMar>
            <w:vAlign w:val="center"/>
          </w:tcPr>
          <w:p>
            <w:pPr>
              <w:rPr>
                <w:rFonts w:hint="eastAsia" w:ascii="仿宋_GB2312" w:hAnsi="仿宋_GB2312" w:eastAsia="仿宋_GB2312" w:cs="仿宋_GB2312"/>
                <w:sz w:val="24"/>
                <w:szCs w:val="24"/>
              </w:rPr>
            </w:pPr>
          </w:p>
        </w:tc>
        <w:tc>
          <w:tcPr>
            <w:tcW w:w="893" w:type="dxa"/>
            <w:tcBorders>
              <w:top w:val="single" w:color="000001" w:sz="4" w:space="0"/>
              <w:left w:val="single" w:color="000001" w:sz="4" w:space="0"/>
              <w:bottom w:val="single" w:color="000001" w:sz="4" w:space="0"/>
              <w:right w:val="single" w:color="00000A" w:sz="4" w:space="0"/>
            </w:tcBorders>
            <w:shd w:val="clear" w:color="auto" w:fill="auto"/>
            <w:tcMar>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left"/>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eastAsia="zh-CN"/>
              </w:rPr>
              <w:t>指标</w:t>
            </w:r>
            <w:r>
              <w:rPr>
                <w:rFonts w:hint="eastAsia" w:ascii="仿宋_GB2312" w:hAnsi="仿宋_GB2312" w:eastAsia="仿宋_GB2312" w:cs="仿宋_GB2312"/>
                <w:color w:val="000000"/>
                <w:sz w:val="24"/>
                <w:szCs w:val="24"/>
                <w:lang w:val="en-US" w:eastAsia="zh-CN"/>
              </w:rPr>
              <w:t>2：实际利用外资</w:t>
            </w:r>
          </w:p>
        </w:tc>
        <w:tc>
          <w:tcPr>
            <w:tcW w:w="2024" w:type="dxa"/>
            <w:gridSpan w:val="3"/>
            <w:tcBorders>
              <w:top w:val="single" w:color="000001" w:sz="4" w:space="0"/>
              <w:left w:val="single" w:color="00000A" w:sz="4" w:space="0"/>
              <w:bottom w:val="single" w:color="000001" w:sz="4" w:space="0"/>
              <w:right w:val="single" w:color="000001" w:sz="4" w:space="0"/>
            </w:tcBorders>
            <w:shd w:val="clear" w:color="auto" w:fill="auto"/>
            <w:tcMar>
              <w:left w:w="14" w:type="dxa"/>
              <w:right w:w="14" w:type="dxa"/>
            </w:tcMar>
            <w:vAlign w:val="center"/>
          </w:tcPr>
          <w:p>
            <w:pPr>
              <w:pStyle w:val="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right="0" w:rightChars="0" w:firstLine="240" w:firstLineChars="10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val="en-US" w:eastAsia="zh-CN" w:bidi="ar"/>
              </w:rPr>
              <w:t>实际利用投资405万美元；</w:t>
            </w:r>
          </w:p>
        </w:tc>
        <w:tc>
          <w:tcPr>
            <w:tcW w:w="2880" w:type="dxa"/>
            <w:gridSpan w:val="2"/>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right="0" w:rightChars="0" w:firstLine="240" w:firstLineChars="10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 w:eastAsia="zh-CN" w:bidi="ar"/>
              </w:rPr>
              <w:t>实际利用外资</w:t>
            </w:r>
            <w:r>
              <w:rPr>
                <w:rFonts w:hint="eastAsia" w:ascii="仿宋_GB2312" w:hAnsi="仿宋_GB2312" w:eastAsia="仿宋_GB2312" w:cs="仿宋_GB2312"/>
                <w:color w:val="000000"/>
                <w:kern w:val="0"/>
                <w:sz w:val="24"/>
                <w:szCs w:val="24"/>
                <w:lang w:val="en-US" w:eastAsia="zh-CN" w:bidi="ar"/>
              </w:rPr>
              <w:t>609</w:t>
            </w:r>
            <w:r>
              <w:rPr>
                <w:rFonts w:hint="eastAsia" w:ascii="仿宋_GB2312" w:hAnsi="仿宋_GB2312" w:eastAsia="仿宋_GB2312" w:cs="仿宋_GB2312"/>
                <w:color w:val="000000"/>
                <w:kern w:val="0"/>
                <w:sz w:val="24"/>
                <w:szCs w:val="24"/>
                <w:lang w:val="en" w:eastAsia="zh-CN" w:bidi="ar"/>
              </w:rPr>
              <w:t>万美元，完成调整后年度目标任务的</w:t>
            </w:r>
            <w:r>
              <w:rPr>
                <w:rFonts w:hint="eastAsia" w:ascii="仿宋_GB2312" w:hAnsi="仿宋_GB2312" w:eastAsia="仿宋_GB2312" w:cs="仿宋_GB2312"/>
                <w:color w:val="000000"/>
                <w:kern w:val="0"/>
                <w:sz w:val="24"/>
                <w:szCs w:val="24"/>
                <w:lang w:val="en-US" w:eastAsia="zh-CN" w:bidi="ar"/>
              </w:rPr>
              <w:t>150.42%</w:t>
            </w:r>
          </w:p>
          <w:p>
            <w:pPr>
              <w:pStyle w:val="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right="0" w:rightChars="0" w:firstLine="240" w:firstLineChars="100"/>
              <w:jc w:val="left"/>
              <w:textAlignment w:val="center"/>
              <w:rPr>
                <w:rFonts w:hint="eastAsia" w:ascii="仿宋_GB2312" w:hAnsi="仿宋_GB2312" w:eastAsia="仿宋_GB2312" w:cs="仿宋_GB2312"/>
                <w:color w:val="000000"/>
                <w:kern w:val="0"/>
                <w:sz w:val="24"/>
                <w:szCs w:val="24"/>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402" w:type="dxa"/>
            <w:vMerge w:val="continue"/>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rPr>
                <w:rFonts w:hint="eastAsia" w:ascii="仿宋_GB2312" w:hAnsi="仿宋_GB2312" w:eastAsia="仿宋_GB2312" w:cs="仿宋_GB2312"/>
                <w:sz w:val="24"/>
                <w:szCs w:val="24"/>
              </w:rPr>
            </w:pPr>
          </w:p>
        </w:tc>
        <w:tc>
          <w:tcPr>
            <w:tcW w:w="1245" w:type="dxa"/>
            <w:vMerge w:val="continue"/>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rPr>
                <w:rFonts w:hint="eastAsia" w:ascii="仿宋_GB2312" w:hAnsi="仿宋_GB2312" w:eastAsia="仿宋_GB2312" w:cs="仿宋_GB2312"/>
                <w:sz w:val="24"/>
                <w:szCs w:val="24"/>
              </w:rPr>
            </w:pPr>
          </w:p>
        </w:tc>
        <w:tc>
          <w:tcPr>
            <w:tcW w:w="961" w:type="dxa"/>
            <w:vMerge w:val="continue"/>
            <w:tcBorders>
              <w:left w:val="single" w:color="000001" w:sz="4" w:space="0"/>
              <w:right w:val="single" w:color="000001" w:sz="4" w:space="0"/>
            </w:tcBorders>
            <w:shd w:val="clear" w:color="auto" w:fill="auto"/>
            <w:tcMar>
              <w:left w:w="14" w:type="dxa"/>
              <w:right w:w="14" w:type="dxa"/>
            </w:tcMar>
            <w:vAlign w:val="center"/>
          </w:tcPr>
          <w:p>
            <w:pPr>
              <w:rPr>
                <w:rFonts w:hint="eastAsia" w:ascii="仿宋_GB2312" w:hAnsi="仿宋_GB2312" w:eastAsia="仿宋_GB2312" w:cs="仿宋_GB2312"/>
                <w:sz w:val="24"/>
                <w:szCs w:val="24"/>
              </w:rPr>
            </w:pPr>
          </w:p>
        </w:tc>
        <w:tc>
          <w:tcPr>
            <w:tcW w:w="893" w:type="dxa"/>
            <w:tcBorders>
              <w:top w:val="single" w:color="000001" w:sz="4" w:space="0"/>
              <w:left w:val="single" w:color="000001" w:sz="4" w:space="0"/>
              <w:bottom w:val="single" w:color="000001" w:sz="4" w:space="0"/>
              <w:right w:val="single" w:color="00000A" w:sz="4" w:space="0"/>
            </w:tcBorders>
            <w:shd w:val="clear" w:color="auto" w:fill="auto"/>
            <w:tcMar>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指标</w:t>
            </w:r>
            <w:r>
              <w:rPr>
                <w:rFonts w:hint="eastAsia" w:ascii="仿宋_GB2312" w:hAnsi="仿宋_GB2312" w:eastAsia="仿宋_GB2312" w:cs="仿宋_GB2312"/>
                <w:color w:val="000000"/>
                <w:sz w:val="24"/>
                <w:szCs w:val="24"/>
                <w:lang w:val="en-US" w:eastAsia="zh-CN"/>
              </w:rPr>
              <w:t>3</w:t>
            </w:r>
            <w:r>
              <w:rPr>
                <w:rFonts w:hint="eastAsia" w:ascii="仿宋_GB2312" w:hAnsi="仿宋_GB2312" w:eastAsia="仿宋_GB2312" w:cs="仿宋_GB2312"/>
                <w:sz w:val="24"/>
                <w:szCs w:val="24"/>
              </w:rPr>
              <w:t>：</w:t>
            </w:r>
            <w:r>
              <w:rPr>
                <w:rFonts w:hint="eastAsia" w:ascii="仿宋_GB2312" w:hAnsi="仿宋_GB2312" w:eastAsia="仿宋_GB2312" w:cs="仿宋_GB2312"/>
                <w:color w:val="000000"/>
                <w:kern w:val="0"/>
                <w:sz w:val="24"/>
                <w:szCs w:val="24"/>
                <w:lang w:val="en-US" w:eastAsia="zh-CN" w:bidi="ar"/>
              </w:rPr>
              <w:t>电子商务交易额</w:t>
            </w:r>
          </w:p>
        </w:tc>
        <w:tc>
          <w:tcPr>
            <w:tcW w:w="2024" w:type="dxa"/>
            <w:gridSpan w:val="3"/>
            <w:tcBorders>
              <w:top w:val="single" w:color="000001" w:sz="4" w:space="0"/>
              <w:left w:val="single" w:color="00000A" w:sz="4" w:space="0"/>
              <w:bottom w:val="single" w:color="000001" w:sz="4" w:space="0"/>
              <w:right w:val="single" w:color="000001" w:sz="4" w:space="0"/>
            </w:tcBorders>
            <w:shd w:val="clear" w:color="auto" w:fill="auto"/>
            <w:tcMar>
              <w:left w:w="14" w:type="dxa"/>
              <w:right w:w="14" w:type="dxa"/>
            </w:tcMar>
            <w:vAlign w:val="center"/>
          </w:tcPr>
          <w:p>
            <w:pPr>
              <w:pStyle w:val="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right="0" w:rightChars="0" w:firstLine="240" w:firstLineChars="10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val="en-US" w:eastAsia="zh-CN" w:bidi="ar"/>
              </w:rPr>
              <w:t>电子商务交易额140亿元；</w:t>
            </w:r>
          </w:p>
        </w:tc>
        <w:tc>
          <w:tcPr>
            <w:tcW w:w="2880" w:type="dxa"/>
            <w:gridSpan w:val="2"/>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Chars="100" w:right="0" w:rightChars="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电子商务交易额160亿元，同比增长33.44%</w:t>
            </w:r>
          </w:p>
          <w:p>
            <w:pPr>
              <w:pStyle w:val="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right="0" w:rightChars="0" w:firstLine="240" w:firstLineChars="100"/>
              <w:jc w:val="left"/>
              <w:textAlignment w:val="center"/>
              <w:rPr>
                <w:rFonts w:hint="eastAsia" w:ascii="仿宋_GB2312" w:hAnsi="仿宋_GB2312" w:eastAsia="仿宋_GB2312" w:cs="仿宋_GB2312"/>
                <w:color w:val="000000"/>
                <w:kern w:val="0"/>
                <w:sz w:val="24"/>
                <w:szCs w:val="24"/>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402" w:type="dxa"/>
            <w:vMerge w:val="continue"/>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rPr>
                <w:rFonts w:hint="eastAsia" w:ascii="仿宋_GB2312" w:hAnsi="仿宋_GB2312" w:eastAsia="仿宋_GB2312" w:cs="仿宋_GB2312"/>
                <w:sz w:val="24"/>
                <w:szCs w:val="24"/>
              </w:rPr>
            </w:pPr>
          </w:p>
        </w:tc>
        <w:tc>
          <w:tcPr>
            <w:tcW w:w="1245" w:type="dxa"/>
            <w:vMerge w:val="continue"/>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rPr>
                <w:rFonts w:hint="eastAsia" w:ascii="仿宋_GB2312" w:hAnsi="仿宋_GB2312" w:eastAsia="仿宋_GB2312" w:cs="仿宋_GB2312"/>
                <w:sz w:val="24"/>
                <w:szCs w:val="24"/>
              </w:rPr>
            </w:pPr>
          </w:p>
        </w:tc>
        <w:tc>
          <w:tcPr>
            <w:tcW w:w="961" w:type="dxa"/>
            <w:vMerge w:val="continue"/>
            <w:tcBorders>
              <w:left w:val="single" w:color="000001" w:sz="4" w:space="0"/>
              <w:right w:val="single" w:color="000001" w:sz="4" w:space="0"/>
            </w:tcBorders>
            <w:shd w:val="clear" w:color="auto" w:fill="auto"/>
            <w:tcMar>
              <w:left w:w="14" w:type="dxa"/>
              <w:right w:w="14" w:type="dxa"/>
            </w:tcMar>
            <w:vAlign w:val="center"/>
          </w:tcPr>
          <w:p>
            <w:pPr>
              <w:rPr>
                <w:rFonts w:hint="eastAsia" w:ascii="仿宋_GB2312" w:hAnsi="仿宋_GB2312" w:eastAsia="仿宋_GB2312" w:cs="仿宋_GB2312"/>
                <w:sz w:val="24"/>
                <w:szCs w:val="24"/>
              </w:rPr>
            </w:pPr>
          </w:p>
        </w:tc>
        <w:tc>
          <w:tcPr>
            <w:tcW w:w="893" w:type="dxa"/>
            <w:tcBorders>
              <w:top w:val="single" w:color="000001" w:sz="4" w:space="0"/>
              <w:left w:val="single" w:color="000001" w:sz="4" w:space="0"/>
              <w:bottom w:val="single" w:color="000001" w:sz="4" w:space="0"/>
              <w:right w:val="single" w:color="00000A" w:sz="4" w:space="0"/>
            </w:tcBorders>
            <w:shd w:val="clear" w:color="auto" w:fill="auto"/>
            <w:tcMar>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left"/>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color w:val="000000"/>
                <w:sz w:val="24"/>
                <w:szCs w:val="24"/>
              </w:rPr>
              <w:t>指标</w:t>
            </w:r>
            <w:r>
              <w:rPr>
                <w:rFonts w:hint="eastAsia" w:ascii="仿宋_GB2312" w:hAnsi="仿宋_GB2312" w:eastAsia="仿宋_GB2312" w:cs="仿宋_GB2312"/>
                <w:color w:val="000000"/>
                <w:sz w:val="24"/>
                <w:szCs w:val="24"/>
                <w:lang w:val="en-US" w:eastAsia="zh-CN"/>
              </w:rPr>
              <w:t>4：助企纾困解难</w:t>
            </w:r>
          </w:p>
        </w:tc>
        <w:tc>
          <w:tcPr>
            <w:tcW w:w="2024" w:type="dxa"/>
            <w:gridSpan w:val="3"/>
            <w:tcBorders>
              <w:top w:val="single" w:color="000001" w:sz="4" w:space="0"/>
              <w:left w:val="single" w:color="00000A" w:sz="4" w:space="0"/>
              <w:bottom w:val="single" w:color="000001" w:sz="4" w:space="0"/>
              <w:right w:val="single" w:color="000001" w:sz="4" w:space="0"/>
            </w:tcBorders>
            <w:shd w:val="clear" w:color="auto" w:fill="auto"/>
            <w:tcMar>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240" w:firstLineChars="100"/>
              <w:jc w:val="left"/>
              <w:textAlignment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color w:val="000000"/>
                <w:sz w:val="24"/>
                <w:szCs w:val="24"/>
                <w:lang w:eastAsia="zh-CN"/>
              </w:rPr>
              <w:t>为企业排忧解难</w:t>
            </w:r>
          </w:p>
        </w:tc>
        <w:tc>
          <w:tcPr>
            <w:tcW w:w="2880" w:type="dxa"/>
            <w:gridSpan w:val="2"/>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印发《全州商务系统“百名干部联百企”排忧解难促发展行动工作方案》，联系133家企业提供“一对一”保姆式服务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402" w:type="dxa"/>
            <w:vMerge w:val="continue"/>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rPr>
                <w:rFonts w:hint="eastAsia" w:ascii="仿宋_GB2312" w:hAnsi="仿宋_GB2312" w:eastAsia="仿宋_GB2312" w:cs="仿宋_GB2312"/>
                <w:sz w:val="24"/>
                <w:szCs w:val="24"/>
              </w:rPr>
            </w:pPr>
          </w:p>
        </w:tc>
        <w:tc>
          <w:tcPr>
            <w:tcW w:w="1245" w:type="dxa"/>
            <w:vMerge w:val="continue"/>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rPr>
                <w:rFonts w:hint="eastAsia" w:ascii="仿宋_GB2312" w:hAnsi="仿宋_GB2312" w:eastAsia="仿宋_GB2312" w:cs="仿宋_GB2312"/>
                <w:sz w:val="24"/>
                <w:szCs w:val="24"/>
              </w:rPr>
            </w:pPr>
          </w:p>
        </w:tc>
        <w:tc>
          <w:tcPr>
            <w:tcW w:w="961" w:type="dxa"/>
            <w:vMerge w:val="continue"/>
            <w:tcBorders>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仿宋_GB2312" w:hAnsi="仿宋_GB2312" w:eastAsia="仿宋_GB2312" w:cs="仿宋_GB2312"/>
                <w:sz w:val="24"/>
                <w:szCs w:val="24"/>
              </w:rPr>
            </w:pPr>
          </w:p>
        </w:tc>
        <w:tc>
          <w:tcPr>
            <w:tcW w:w="893" w:type="dxa"/>
            <w:tcBorders>
              <w:top w:val="single" w:color="000001" w:sz="4" w:space="0"/>
              <w:left w:val="single" w:color="000001" w:sz="4" w:space="0"/>
              <w:bottom w:val="single" w:color="000001" w:sz="4" w:space="0"/>
              <w:right w:val="single" w:color="00000A" w:sz="4" w:space="0"/>
            </w:tcBorders>
            <w:shd w:val="clear" w:color="auto" w:fill="auto"/>
            <w:tcMar>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指标5：是否拉动市场消费</w:t>
            </w:r>
          </w:p>
        </w:tc>
        <w:tc>
          <w:tcPr>
            <w:tcW w:w="2024" w:type="dxa"/>
            <w:gridSpan w:val="3"/>
            <w:tcBorders>
              <w:top w:val="single" w:color="000001" w:sz="4" w:space="0"/>
              <w:left w:val="single" w:color="00000A" w:sz="4" w:space="0"/>
              <w:right w:val="single" w:color="000001" w:sz="4" w:space="0"/>
            </w:tcBorders>
            <w:shd w:val="clear" w:color="auto" w:fill="auto"/>
            <w:tcMar>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right="0" w:firstLine="480" w:firstLineChars="20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拉动市场消费</w:t>
            </w:r>
          </w:p>
        </w:tc>
        <w:tc>
          <w:tcPr>
            <w:tcW w:w="2880" w:type="dxa"/>
            <w:gridSpan w:val="2"/>
            <w:tcBorders>
              <w:top w:val="single" w:color="000001" w:sz="4" w:space="0"/>
              <w:left w:val="single" w:color="000001" w:sz="4" w:space="0"/>
              <w:right w:val="single" w:color="000001" w:sz="4" w:space="0"/>
            </w:tcBorders>
            <w:shd w:val="clear" w:color="auto" w:fill="auto"/>
            <w:tcMar>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举办了大车展暨老字号农特产品展销会、“6·18”消费购物节、雪花啤酒·湘西首届摇滚音乐节等系列促消费活动，全力拉动住房、汽车、家电等大宗商品消费，全州社零增长2.1%，全省排名12位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402" w:type="dxa"/>
            <w:vMerge w:val="continue"/>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rPr>
                <w:rFonts w:hint="eastAsia" w:ascii="仿宋_GB2312" w:hAnsi="仿宋_GB2312" w:eastAsia="仿宋_GB2312" w:cs="仿宋_GB2312"/>
                <w:sz w:val="24"/>
                <w:szCs w:val="24"/>
              </w:rPr>
            </w:pPr>
          </w:p>
        </w:tc>
        <w:tc>
          <w:tcPr>
            <w:tcW w:w="1245" w:type="dxa"/>
            <w:vMerge w:val="continue"/>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rPr>
                <w:rFonts w:hint="eastAsia" w:ascii="仿宋_GB2312" w:hAnsi="仿宋_GB2312" w:eastAsia="仿宋_GB2312" w:cs="仿宋_GB2312"/>
                <w:sz w:val="24"/>
                <w:szCs w:val="24"/>
              </w:rPr>
            </w:pPr>
          </w:p>
        </w:tc>
        <w:tc>
          <w:tcPr>
            <w:tcW w:w="961" w:type="dxa"/>
            <w:vMerge w:val="restart"/>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社会公众或服务对象满意度</w:t>
            </w:r>
          </w:p>
        </w:tc>
        <w:tc>
          <w:tcPr>
            <w:tcW w:w="893" w:type="dxa"/>
            <w:tcBorders>
              <w:top w:val="single" w:color="000001" w:sz="4" w:space="0"/>
              <w:left w:val="single" w:color="000001" w:sz="4" w:space="0"/>
              <w:bottom w:val="single" w:color="000001" w:sz="4" w:space="0"/>
              <w:right w:val="single" w:color="00000A" w:sz="4" w:space="0"/>
            </w:tcBorders>
            <w:shd w:val="clear" w:color="auto" w:fill="auto"/>
            <w:tcMar>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指标</w:t>
            </w:r>
            <w:r>
              <w:rPr>
                <w:rFonts w:hint="eastAsia" w:ascii="仿宋_GB2312" w:hAnsi="仿宋_GB2312" w:eastAsia="仿宋_GB2312" w:cs="仿宋_GB2312"/>
                <w:sz w:val="24"/>
                <w:szCs w:val="24"/>
              </w:rPr>
              <w:t>1：社会公众满意度</w:t>
            </w:r>
          </w:p>
        </w:tc>
        <w:tc>
          <w:tcPr>
            <w:tcW w:w="2024" w:type="dxa"/>
            <w:gridSpan w:val="3"/>
            <w:vMerge w:val="restart"/>
            <w:tcBorders>
              <w:top w:val="single" w:color="000001" w:sz="4" w:space="0"/>
              <w:left w:val="single" w:color="00000A" w:sz="4" w:space="0"/>
              <w:right w:val="single" w:color="000001" w:sz="4" w:space="0"/>
            </w:tcBorders>
            <w:shd w:val="clear" w:color="auto" w:fill="auto"/>
            <w:tcMar>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840" w:firstLineChars="35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9</w:t>
            </w:r>
            <w:r>
              <w:rPr>
                <w:rFonts w:hint="eastAsia" w:ascii="仿宋_GB2312" w:hAnsi="仿宋_GB2312" w:eastAsia="仿宋_GB2312" w:cs="仿宋_GB2312"/>
                <w:color w:val="000000"/>
                <w:sz w:val="24"/>
                <w:szCs w:val="24"/>
                <w:lang w:val="en-US" w:eastAsia="zh-CN"/>
              </w:rPr>
              <w:t>0</w:t>
            </w:r>
            <w:r>
              <w:rPr>
                <w:rFonts w:hint="eastAsia" w:ascii="仿宋_GB2312" w:hAnsi="仿宋_GB2312" w:eastAsia="仿宋_GB2312" w:cs="仿宋_GB2312"/>
                <w:color w:val="000000"/>
                <w:sz w:val="24"/>
                <w:szCs w:val="24"/>
              </w:rPr>
              <w:t>%以上</w:t>
            </w:r>
          </w:p>
        </w:tc>
        <w:tc>
          <w:tcPr>
            <w:tcW w:w="2880" w:type="dxa"/>
            <w:gridSpan w:val="2"/>
            <w:vMerge w:val="restart"/>
            <w:tcBorders>
              <w:top w:val="single" w:color="000001" w:sz="4" w:space="0"/>
              <w:left w:val="single" w:color="000001" w:sz="4" w:space="0"/>
              <w:right w:val="single" w:color="000001" w:sz="4" w:space="0"/>
            </w:tcBorders>
            <w:shd w:val="clear" w:color="auto" w:fill="auto"/>
            <w:tcMar>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left"/>
              <w:textAlignment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color w:val="000000"/>
                <w:sz w:val="24"/>
                <w:szCs w:val="24"/>
              </w:rPr>
              <w:t>采用调查问卷方式，满意度为</w:t>
            </w:r>
            <w:r>
              <w:rPr>
                <w:rFonts w:hint="eastAsia" w:ascii="仿宋_GB2312" w:hAnsi="仿宋_GB2312" w:eastAsia="仿宋_GB2312" w:cs="仿宋_GB2312"/>
                <w:sz w:val="24"/>
                <w:szCs w:val="24"/>
              </w:rPr>
              <w:t>9</w:t>
            </w: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78" w:hRule="atLeast"/>
          <w:jc w:val="center"/>
        </w:trPr>
        <w:tc>
          <w:tcPr>
            <w:tcW w:w="1402" w:type="dxa"/>
            <w:vMerge w:val="continue"/>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rPr>
                <w:rFonts w:hint="eastAsia" w:ascii="仿宋_GB2312" w:hAnsi="仿宋_GB2312" w:eastAsia="仿宋_GB2312" w:cs="仿宋_GB2312"/>
                <w:sz w:val="24"/>
                <w:szCs w:val="24"/>
              </w:rPr>
            </w:pPr>
          </w:p>
        </w:tc>
        <w:tc>
          <w:tcPr>
            <w:tcW w:w="1245" w:type="dxa"/>
            <w:vMerge w:val="continue"/>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rPr>
                <w:rFonts w:hint="eastAsia" w:ascii="仿宋_GB2312" w:hAnsi="仿宋_GB2312" w:eastAsia="仿宋_GB2312" w:cs="仿宋_GB2312"/>
                <w:sz w:val="24"/>
                <w:szCs w:val="24"/>
              </w:rPr>
            </w:pPr>
          </w:p>
        </w:tc>
        <w:tc>
          <w:tcPr>
            <w:tcW w:w="961" w:type="dxa"/>
            <w:vMerge w:val="continue"/>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rPr>
                <w:rFonts w:hint="eastAsia" w:ascii="仿宋_GB2312" w:hAnsi="仿宋_GB2312" w:eastAsia="仿宋_GB2312" w:cs="仿宋_GB2312"/>
                <w:sz w:val="24"/>
                <w:szCs w:val="24"/>
              </w:rPr>
            </w:pPr>
          </w:p>
        </w:tc>
        <w:tc>
          <w:tcPr>
            <w:tcW w:w="893" w:type="dxa"/>
            <w:tcBorders>
              <w:top w:val="single" w:color="000001" w:sz="4" w:space="0"/>
              <w:left w:val="single" w:color="000001" w:sz="4" w:space="0"/>
              <w:bottom w:val="single" w:color="000001" w:sz="4" w:space="0"/>
              <w:right w:val="single" w:color="00000A" w:sz="4" w:space="0"/>
            </w:tcBorders>
            <w:shd w:val="clear" w:color="auto" w:fill="auto"/>
            <w:tcMar>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指标</w:t>
            </w:r>
            <w:r>
              <w:rPr>
                <w:rFonts w:hint="eastAsia" w:ascii="仿宋_GB2312" w:hAnsi="仿宋_GB2312" w:eastAsia="仿宋_GB2312" w:cs="仿宋_GB2312"/>
                <w:sz w:val="24"/>
                <w:szCs w:val="24"/>
              </w:rPr>
              <w:t>2：服务对象满意度</w:t>
            </w:r>
          </w:p>
        </w:tc>
        <w:tc>
          <w:tcPr>
            <w:tcW w:w="2024" w:type="dxa"/>
            <w:gridSpan w:val="3"/>
            <w:vMerge w:val="continue"/>
            <w:tcBorders>
              <w:left w:val="single" w:color="00000A" w:sz="4" w:space="0"/>
              <w:bottom w:val="single" w:color="000001" w:sz="4" w:space="0"/>
              <w:right w:val="single" w:color="000001" w:sz="4" w:space="0"/>
            </w:tcBorders>
            <w:shd w:val="clear" w:color="auto" w:fill="auto"/>
            <w:tcMar>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317"/>
              <w:jc w:val="left"/>
              <w:textAlignment w:val="center"/>
              <w:rPr>
                <w:rFonts w:hint="eastAsia" w:ascii="仿宋_GB2312" w:hAnsi="仿宋_GB2312" w:eastAsia="仿宋_GB2312" w:cs="仿宋_GB2312"/>
                <w:sz w:val="24"/>
                <w:szCs w:val="24"/>
              </w:rPr>
            </w:pPr>
          </w:p>
        </w:tc>
        <w:tc>
          <w:tcPr>
            <w:tcW w:w="2880" w:type="dxa"/>
            <w:gridSpan w:val="2"/>
            <w:vMerge w:val="continue"/>
            <w:tcBorders>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left"/>
              <w:textAlignment w:val="center"/>
              <w:rPr>
                <w:rFonts w:hint="eastAsia" w:ascii="仿宋_GB2312" w:hAnsi="仿宋_GB2312" w:eastAsia="仿宋_GB2312" w:cs="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50" w:hRule="atLeast"/>
          <w:jc w:val="center"/>
        </w:trPr>
        <w:tc>
          <w:tcPr>
            <w:tcW w:w="2647" w:type="dxa"/>
            <w:gridSpan w:val="2"/>
            <w:tcBorders>
              <w:top w:val="single" w:color="000001" w:sz="4" w:space="0"/>
              <w:left w:val="single" w:color="000001" w:sz="4" w:space="0"/>
              <w:bottom w:val="single" w:color="000001" w:sz="4" w:space="0"/>
              <w:right w:val="single" w:color="00000A" w:sz="4" w:space="0"/>
            </w:tcBorders>
            <w:shd w:val="clear" w:color="auto" w:fill="auto"/>
            <w:tcMar>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绩效自评综合得分及评价等次</w:t>
            </w:r>
          </w:p>
        </w:tc>
        <w:tc>
          <w:tcPr>
            <w:tcW w:w="6758" w:type="dxa"/>
            <w:gridSpan w:val="7"/>
            <w:tcBorders>
              <w:top w:val="single" w:color="000001" w:sz="4" w:space="0"/>
              <w:left w:val="single" w:color="00000A" w:sz="4" w:space="0"/>
              <w:bottom w:val="single" w:color="000001" w:sz="4" w:space="0"/>
              <w:right w:val="single" w:color="000001" w:sz="4" w:space="0"/>
            </w:tcBorders>
            <w:shd w:val="clear" w:color="auto" w:fill="auto"/>
            <w:tcMar>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634"/>
              <w:textAlignment w:val="center"/>
              <w:rPr>
                <w:rFonts w:hint="eastAsia" w:ascii="仿宋_GB2312" w:hAnsi="仿宋_GB2312" w:eastAsia="仿宋_GB2312" w:cs="仿宋_GB2312"/>
                <w:sz w:val="24"/>
                <w:szCs w:val="24"/>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634"/>
              <w:textAlignment w:val="center"/>
              <w:rPr>
                <w:rFonts w:hint="eastAsia" w:ascii="仿宋_GB2312" w:hAnsi="仿宋_GB2312" w:eastAsia="仿宋_GB2312" w:cs="仿宋_GB2312"/>
                <w:sz w:val="24"/>
                <w:szCs w:val="24"/>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634"/>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评分：</w:t>
            </w:r>
            <w:r>
              <w:rPr>
                <w:rFonts w:hint="default" w:ascii="仿宋_GB2312" w:hAnsi="仿宋_GB2312" w:eastAsia="仿宋_GB2312" w:cs="仿宋_GB2312"/>
                <w:sz w:val="24"/>
                <w:szCs w:val="24"/>
                <w:lang w:val="en"/>
              </w:rPr>
              <w:t>97</w:t>
            </w:r>
            <w:r>
              <w:rPr>
                <w:rFonts w:hint="eastAsia" w:ascii="仿宋_GB2312" w:hAnsi="仿宋_GB2312" w:eastAsia="仿宋_GB2312" w:cs="仿宋_GB2312"/>
                <w:sz w:val="24"/>
                <w:szCs w:val="24"/>
              </w:rPr>
              <w:t>                        等级：优</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left"/>
              <w:textAlignment w:val="center"/>
              <w:rPr>
                <w:rFonts w:hint="eastAsia" w:ascii="仿宋_GB2312" w:hAnsi="仿宋_GB2312" w:eastAsia="仿宋_GB2312" w:cs="仿宋_GB2312"/>
                <w:sz w:val="24"/>
                <w:szCs w:val="24"/>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仿宋_GB2312" w:hAnsi="仿宋_GB2312" w:eastAsia="仿宋_GB2312" w:cs="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0" w:hRule="atLeast"/>
          <w:jc w:val="center"/>
        </w:trPr>
        <w:tc>
          <w:tcPr>
            <w:tcW w:w="9405" w:type="dxa"/>
            <w:gridSpan w:val="9"/>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1"/>
                <w:szCs w:val="21"/>
              </w:rPr>
            </w:pPr>
            <w:r>
              <w:rPr>
                <w:rFonts w:hint="eastAsia" w:ascii="宋体" w:hAnsi="宋体" w:eastAsia="宋体" w:cs="宋体"/>
                <w:b/>
                <w:bCs/>
                <w:sz w:val="28"/>
                <w:szCs w:val="28"/>
              </w:rPr>
              <w:t>四、评价人员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jc w:val="center"/>
        </w:trPr>
        <w:tc>
          <w:tcPr>
            <w:tcW w:w="1402"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4"/>
                <w:szCs w:val="24"/>
              </w:rPr>
            </w:pPr>
            <w:r>
              <w:rPr>
                <w:rFonts w:hint="eastAsia" w:ascii="宋体" w:hAnsi="宋体" w:eastAsia="宋体" w:cs="宋体"/>
                <w:sz w:val="24"/>
                <w:szCs w:val="24"/>
              </w:rPr>
              <w:t>姓 名</w:t>
            </w:r>
          </w:p>
        </w:tc>
        <w:tc>
          <w:tcPr>
            <w:tcW w:w="1245"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4"/>
                <w:szCs w:val="24"/>
              </w:rPr>
            </w:pPr>
            <w:r>
              <w:rPr>
                <w:rFonts w:hint="eastAsia" w:ascii="宋体" w:hAnsi="宋体" w:eastAsia="宋体" w:cs="宋体"/>
                <w:sz w:val="24"/>
                <w:szCs w:val="24"/>
              </w:rPr>
              <w:t>职务/职称</w:t>
            </w:r>
          </w:p>
        </w:tc>
        <w:tc>
          <w:tcPr>
            <w:tcW w:w="2692" w:type="dxa"/>
            <w:gridSpan w:val="3"/>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4"/>
                <w:szCs w:val="24"/>
              </w:rPr>
            </w:pPr>
            <w:r>
              <w:rPr>
                <w:rFonts w:hint="eastAsia" w:ascii="宋体" w:hAnsi="宋体" w:eastAsia="宋体" w:cs="宋体"/>
                <w:sz w:val="24"/>
                <w:szCs w:val="24"/>
              </w:rPr>
              <w:t>单 位</w:t>
            </w:r>
          </w:p>
        </w:tc>
        <w:tc>
          <w:tcPr>
            <w:tcW w:w="4066" w:type="dxa"/>
            <w:gridSpan w:val="4"/>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1"/>
                <w:szCs w:val="21"/>
              </w:rPr>
            </w:pPr>
            <w:r>
              <w:rPr>
                <w:rFonts w:hint="eastAsia" w:ascii="宋体" w:hAnsi="宋体" w:eastAsia="宋体" w:cs="宋体"/>
                <w:sz w:val="21"/>
                <w:szCs w:val="21"/>
              </w:rPr>
              <w:t>签 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20" w:hRule="atLeast"/>
          <w:jc w:val="center"/>
        </w:trPr>
        <w:tc>
          <w:tcPr>
            <w:tcW w:w="1402"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4"/>
                <w:szCs w:val="24"/>
                <w:lang w:eastAsia="zh-CN"/>
              </w:rPr>
            </w:pPr>
            <w:r>
              <w:rPr>
                <w:rFonts w:hint="eastAsia" w:ascii="宋体" w:hAnsi="宋体" w:eastAsia="宋体" w:cs="宋体"/>
                <w:sz w:val="24"/>
                <w:szCs w:val="24"/>
                <w:lang w:eastAsia="zh-CN"/>
              </w:rPr>
              <w:t>尚涛</w:t>
            </w:r>
          </w:p>
        </w:tc>
        <w:tc>
          <w:tcPr>
            <w:tcW w:w="1245"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4"/>
                <w:szCs w:val="24"/>
              </w:rPr>
            </w:pPr>
            <w:r>
              <w:rPr>
                <w:rFonts w:hint="eastAsia" w:ascii="宋体" w:hAnsi="宋体" w:eastAsia="宋体" w:cs="宋体"/>
                <w:sz w:val="24"/>
                <w:szCs w:val="24"/>
              </w:rPr>
              <w:t>党组成员、副局长</w:t>
            </w:r>
          </w:p>
        </w:tc>
        <w:tc>
          <w:tcPr>
            <w:tcW w:w="2692" w:type="dxa"/>
            <w:gridSpan w:val="3"/>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4"/>
                <w:szCs w:val="24"/>
              </w:rPr>
            </w:pPr>
            <w:r>
              <w:rPr>
                <w:rFonts w:hint="eastAsia" w:ascii="宋体" w:hAnsi="宋体" w:eastAsia="宋体" w:cs="宋体"/>
                <w:sz w:val="24"/>
                <w:szCs w:val="24"/>
              </w:rPr>
              <w:t>州商务局</w:t>
            </w:r>
          </w:p>
        </w:tc>
        <w:tc>
          <w:tcPr>
            <w:tcW w:w="4066" w:type="dxa"/>
            <w:gridSpan w:val="4"/>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30" w:hRule="atLeast"/>
          <w:jc w:val="center"/>
        </w:trPr>
        <w:tc>
          <w:tcPr>
            <w:tcW w:w="1402"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4"/>
                <w:szCs w:val="24"/>
              </w:rPr>
            </w:pPr>
            <w:r>
              <w:rPr>
                <w:rFonts w:hint="eastAsia" w:ascii="宋体" w:hAnsi="宋体" w:eastAsia="宋体" w:cs="宋体"/>
                <w:sz w:val="24"/>
                <w:szCs w:val="24"/>
              </w:rPr>
              <w:t>彭</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艳</w:t>
            </w:r>
          </w:p>
        </w:tc>
        <w:tc>
          <w:tcPr>
            <w:tcW w:w="1245"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4"/>
                <w:szCs w:val="24"/>
              </w:rPr>
            </w:pPr>
            <w:r>
              <w:rPr>
                <w:rFonts w:hint="eastAsia" w:ascii="宋体" w:hAnsi="宋体" w:eastAsia="宋体" w:cs="宋体"/>
                <w:sz w:val="24"/>
                <w:szCs w:val="24"/>
              </w:rPr>
              <w:t>财务科科长</w:t>
            </w:r>
          </w:p>
        </w:tc>
        <w:tc>
          <w:tcPr>
            <w:tcW w:w="2692" w:type="dxa"/>
            <w:gridSpan w:val="3"/>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4"/>
                <w:szCs w:val="24"/>
              </w:rPr>
            </w:pPr>
            <w:r>
              <w:rPr>
                <w:rFonts w:hint="eastAsia" w:ascii="宋体" w:hAnsi="宋体" w:eastAsia="宋体" w:cs="宋体"/>
                <w:sz w:val="24"/>
                <w:szCs w:val="24"/>
              </w:rPr>
              <w:t>州商务局</w:t>
            </w:r>
          </w:p>
        </w:tc>
        <w:tc>
          <w:tcPr>
            <w:tcW w:w="4066" w:type="dxa"/>
            <w:gridSpan w:val="4"/>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10" w:hRule="atLeast"/>
          <w:jc w:val="center"/>
        </w:trPr>
        <w:tc>
          <w:tcPr>
            <w:tcW w:w="1402"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4"/>
                <w:szCs w:val="24"/>
              </w:rPr>
            </w:pPr>
            <w:r>
              <w:rPr>
                <w:rFonts w:hint="eastAsia" w:ascii="宋体" w:hAnsi="宋体" w:eastAsia="宋体" w:cs="宋体"/>
                <w:sz w:val="24"/>
                <w:szCs w:val="24"/>
              </w:rPr>
              <w:t>杨智勇</w:t>
            </w:r>
          </w:p>
        </w:tc>
        <w:tc>
          <w:tcPr>
            <w:tcW w:w="1245" w:type="dxa"/>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4"/>
                <w:szCs w:val="24"/>
              </w:rPr>
            </w:pPr>
            <w:r>
              <w:rPr>
                <w:rFonts w:hint="eastAsia" w:ascii="宋体" w:hAnsi="宋体" w:eastAsia="宋体" w:cs="宋体"/>
                <w:sz w:val="24"/>
                <w:szCs w:val="24"/>
              </w:rPr>
              <w:t>财务科会计</w:t>
            </w:r>
          </w:p>
        </w:tc>
        <w:tc>
          <w:tcPr>
            <w:tcW w:w="2692" w:type="dxa"/>
            <w:gridSpan w:val="3"/>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4"/>
                <w:szCs w:val="24"/>
              </w:rPr>
            </w:pPr>
            <w:r>
              <w:rPr>
                <w:rFonts w:hint="eastAsia" w:ascii="宋体" w:hAnsi="宋体" w:eastAsia="宋体" w:cs="宋体"/>
                <w:sz w:val="24"/>
                <w:szCs w:val="24"/>
              </w:rPr>
              <w:t>州商务局</w:t>
            </w:r>
          </w:p>
        </w:tc>
        <w:tc>
          <w:tcPr>
            <w:tcW w:w="4066" w:type="dxa"/>
            <w:gridSpan w:val="4"/>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center"/>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96" w:hRule="atLeast"/>
          <w:jc w:val="center"/>
        </w:trPr>
        <w:tc>
          <w:tcPr>
            <w:tcW w:w="9405" w:type="dxa"/>
            <w:gridSpan w:val="9"/>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left"/>
              <w:textAlignment w:val="center"/>
              <w:rPr>
                <w:rFonts w:hint="eastAsia" w:ascii="宋体" w:hAnsi="宋体" w:eastAsia="宋体" w:cs="宋体"/>
                <w:sz w:val="16"/>
                <w:szCs w:val="16"/>
              </w:rPr>
            </w:pPr>
            <w:r>
              <w:rPr>
                <w:rFonts w:hint="eastAsia" w:ascii="宋体" w:hAnsi="宋体" w:eastAsia="宋体" w:cs="宋体"/>
                <w:sz w:val="24"/>
                <w:szCs w:val="24"/>
              </w:rPr>
              <w:t>评价组组长签署意见：</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right="0"/>
              <w:jc w:val="left"/>
              <w:textAlignment w:val="center"/>
              <w:rPr>
                <w:rFonts w:hint="eastAsia" w:ascii="宋体" w:hAnsi="宋体" w:eastAsia="宋体" w:cs="宋体"/>
                <w:sz w:val="24"/>
                <w:szCs w:val="24"/>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right="0"/>
              <w:jc w:val="left"/>
              <w:textAlignment w:val="center"/>
              <w:rPr>
                <w:rFonts w:hint="eastAsia" w:ascii="宋体" w:hAnsi="宋体" w:eastAsia="宋体" w:cs="宋体"/>
                <w:sz w:val="16"/>
                <w:szCs w:val="16"/>
              </w:rPr>
            </w:pPr>
            <w:r>
              <w:rPr>
                <w:rFonts w:hint="eastAsia" w:ascii="宋体" w:hAnsi="宋体" w:eastAsia="宋体" w:cs="宋体"/>
                <w:sz w:val="24"/>
                <w:szCs w:val="24"/>
              </w:rPr>
              <w:t>评价组组长（签字）：</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left"/>
              <w:textAlignment w:val="center"/>
              <w:rPr>
                <w:rFonts w:hint="eastAsia" w:ascii="宋体" w:hAnsi="宋体" w:eastAsia="宋体" w:cs="宋体"/>
                <w:sz w:val="16"/>
                <w:szCs w:val="16"/>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left"/>
              <w:textAlignment w:val="center"/>
              <w:rPr>
                <w:rFonts w:hint="eastAsia" w:ascii="宋体" w:hAnsi="宋体" w:eastAsia="宋体" w:cs="宋体"/>
                <w:sz w:val="16"/>
                <w:szCs w:val="16"/>
              </w:rPr>
            </w:pPr>
            <w:r>
              <w:rPr>
                <w:rFonts w:hint="eastAsia" w:ascii="宋体" w:hAnsi="宋体" w:eastAsia="宋体" w:cs="宋体"/>
                <w:sz w:val="16"/>
                <w:szCs w:val="16"/>
              </w:rPr>
              <w:t>   </w:t>
            </w:r>
            <w:r>
              <w:rPr>
                <w:rFonts w:hint="eastAsia" w:ascii="宋体" w:hAnsi="宋体" w:eastAsia="宋体" w:cs="宋体"/>
                <w:sz w:val="16"/>
                <w:szCs w:val="16"/>
                <w:lang w:val="en-US" w:eastAsia="zh-CN"/>
              </w:rPr>
              <w:t xml:space="preserve">                                                                                         </w:t>
            </w:r>
            <w:r>
              <w:rPr>
                <w:rFonts w:hint="eastAsia" w:ascii="宋体" w:hAnsi="宋体" w:eastAsia="宋体" w:cs="宋体"/>
                <w:sz w:val="16"/>
                <w:szCs w:val="16"/>
              </w:rPr>
              <w:t> </w:t>
            </w:r>
            <w:r>
              <w:rPr>
                <w:rFonts w:hint="eastAsia" w:ascii="宋体" w:hAnsi="宋体" w:eastAsia="宋体" w:cs="宋体"/>
                <w:sz w:val="24"/>
                <w:szCs w:val="24"/>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88" w:hRule="atLeast"/>
          <w:jc w:val="center"/>
        </w:trPr>
        <w:tc>
          <w:tcPr>
            <w:tcW w:w="9405" w:type="dxa"/>
            <w:gridSpan w:val="9"/>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left"/>
              <w:textAlignment w:val="center"/>
              <w:rPr>
                <w:rFonts w:hint="eastAsia" w:ascii="宋体" w:hAnsi="宋体" w:eastAsia="宋体" w:cs="宋体"/>
                <w:sz w:val="16"/>
                <w:szCs w:val="16"/>
              </w:rPr>
            </w:pPr>
            <w:r>
              <w:rPr>
                <w:rFonts w:hint="eastAsia" w:ascii="宋体" w:hAnsi="宋体" w:eastAsia="宋体" w:cs="宋体"/>
                <w:sz w:val="24"/>
                <w:szCs w:val="24"/>
              </w:rPr>
              <w:t>部门（单位）意见：</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left"/>
              <w:textAlignment w:val="center"/>
              <w:rPr>
                <w:rFonts w:hint="eastAsia" w:ascii="宋体" w:hAnsi="宋体" w:eastAsia="宋体" w:cs="宋体"/>
                <w:sz w:val="16"/>
                <w:szCs w:val="16"/>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left"/>
              <w:textAlignment w:val="center"/>
              <w:rPr>
                <w:rFonts w:hint="eastAsia" w:ascii="宋体" w:hAnsi="宋体" w:eastAsia="宋体" w:cs="宋体"/>
                <w:sz w:val="24"/>
                <w:szCs w:val="24"/>
              </w:rPr>
            </w:pPr>
            <w:r>
              <w:rPr>
                <w:rFonts w:hint="eastAsia" w:ascii="宋体" w:hAnsi="宋体" w:eastAsia="宋体" w:cs="宋体"/>
                <w:sz w:val="24"/>
                <w:szCs w:val="24"/>
              </w:rPr>
              <w:t>部门（单位）负责人（签字）：              </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left"/>
              <w:textAlignment w:val="center"/>
              <w:rPr>
                <w:rFonts w:hint="eastAsia" w:ascii="宋体" w:hAnsi="宋体" w:eastAsia="宋体" w:cs="宋体"/>
                <w:sz w:val="16"/>
                <w:szCs w:val="16"/>
              </w:rPr>
            </w:pPr>
            <w:r>
              <w:rPr>
                <w:rFonts w:hint="eastAsia" w:ascii="宋体" w:hAnsi="宋体" w:eastAsia="宋体" w:cs="宋体"/>
                <w:sz w:val="24"/>
                <w:szCs w:val="24"/>
              </w:rPr>
              <w:t>部门（单位）（盖章）：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7360" w:firstLineChars="4600"/>
              <w:jc w:val="left"/>
              <w:textAlignment w:val="center"/>
              <w:rPr>
                <w:rFonts w:hint="eastAsia" w:ascii="宋体" w:hAnsi="宋体" w:eastAsia="宋体" w:cs="宋体"/>
                <w:sz w:val="16"/>
                <w:szCs w:val="16"/>
              </w:rPr>
            </w:pPr>
            <w:r>
              <w:rPr>
                <w:rFonts w:hint="eastAsia" w:ascii="宋体" w:hAnsi="宋体" w:eastAsia="宋体" w:cs="宋体"/>
                <w:sz w:val="16"/>
                <w:szCs w:val="16"/>
                <w:lang w:val="en-US" w:eastAsia="zh-CN"/>
              </w:rPr>
              <w:t xml:space="preserve"> </w:t>
            </w:r>
            <w:r>
              <w:rPr>
                <w:rFonts w:hint="eastAsia" w:ascii="宋体" w:hAnsi="宋体" w:eastAsia="宋体" w:cs="宋体"/>
                <w:sz w:val="24"/>
                <w:szCs w:val="24"/>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9405" w:type="dxa"/>
            <w:gridSpan w:val="9"/>
            <w:tcBorders>
              <w:top w:val="single" w:color="000001" w:sz="4" w:space="0"/>
              <w:left w:val="single" w:color="000001" w:sz="4" w:space="0"/>
              <w:bottom w:val="single" w:color="000001" w:sz="4" w:space="0"/>
              <w:right w:val="single" w:color="000001" w:sz="4" w:space="0"/>
            </w:tcBorders>
            <w:shd w:val="clear" w:color="auto" w:fill="auto"/>
            <w:tcMar>
              <w:left w:w="14" w:type="dxa"/>
              <w:right w:w="1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textAlignment w:val="center"/>
              <w:rPr>
                <w:rFonts w:hint="eastAsia" w:ascii="宋体" w:hAnsi="宋体" w:eastAsia="宋体" w:cs="宋体"/>
                <w:sz w:val="16"/>
                <w:szCs w:val="16"/>
              </w:rPr>
            </w:pPr>
            <w:r>
              <w:rPr>
                <w:rFonts w:hint="eastAsia" w:ascii="宋体" w:hAnsi="宋体" w:eastAsia="宋体" w:cs="宋体"/>
                <w:sz w:val="24"/>
                <w:szCs w:val="24"/>
              </w:rPr>
              <w:t>财政部门归口业务科室意见：</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textAlignment w:val="center"/>
              <w:rPr>
                <w:rFonts w:hint="eastAsia" w:ascii="宋体" w:hAnsi="宋体" w:eastAsia="宋体" w:cs="宋体"/>
                <w:sz w:val="16"/>
                <w:szCs w:val="16"/>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textAlignment w:val="center"/>
              <w:rPr>
                <w:rFonts w:hint="eastAsia" w:ascii="宋体" w:hAnsi="宋体" w:eastAsia="宋体" w:cs="宋体"/>
                <w:sz w:val="24"/>
                <w:szCs w:val="24"/>
              </w:rPr>
            </w:pPr>
            <w:r>
              <w:rPr>
                <w:rFonts w:hint="eastAsia" w:ascii="宋体" w:hAnsi="宋体" w:eastAsia="宋体" w:cs="宋体"/>
                <w:sz w:val="24"/>
                <w:szCs w:val="24"/>
              </w:rPr>
              <w:t>财政部门归口业务科室负责人（签字）：     </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textAlignment w:val="center"/>
              <w:rPr>
                <w:rFonts w:hint="eastAsia" w:ascii="宋体" w:hAnsi="宋体" w:eastAsia="宋体" w:cs="宋体"/>
                <w:sz w:val="16"/>
                <w:szCs w:val="16"/>
              </w:rPr>
            </w:pPr>
            <w:r>
              <w:rPr>
                <w:rFonts w:hint="eastAsia" w:ascii="宋体" w:hAnsi="宋体" w:eastAsia="宋体" w:cs="宋体"/>
                <w:sz w:val="24"/>
                <w:szCs w:val="24"/>
              </w:rPr>
              <w:t>财政部门归口业务科室（盖章）：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left"/>
              <w:textAlignment w:val="center"/>
              <w:rPr>
                <w:rFonts w:hint="eastAsia" w:ascii="宋体" w:hAnsi="宋体" w:eastAsia="宋体" w:cs="宋体"/>
                <w:sz w:val="16"/>
                <w:szCs w:val="16"/>
              </w:rPr>
            </w:pPr>
            <w:r>
              <w:rPr>
                <w:rFonts w:hint="eastAsia" w:ascii="宋体" w:hAnsi="宋体" w:eastAsia="宋体" w:cs="宋体"/>
                <w:sz w:val="16"/>
                <w:szCs w:val="16"/>
              </w:rPr>
              <w:t>                                                               </w:t>
            </w:r>
            <w:r>
              <w:rPr>
                <w:rFonts w:hint="default" w:ascii="宋体" w:hAnsi="宋体" w:eastAsia="宋体" w:cs="宋体"/>
                <w:sz w:val="16"/>
                <w:szCs w:val="16"/>
                <w:lang w:val="en"/>
              </w:rPr>
              <w:t xml:space="preserve">                                 </w:t>
            </w:r>
            <w:r>
              <w:rPr>
                <w:rFonts w:hint="eastAsia" w:ascii="宋体" w:hAnsi="宋体" w:eastAsia="宋体" w:cs="宋体"/>
                <w:sz w:val="24"/>
                <w:szCs w:val="24"/>
              </w:rPr>
              <w:t>年    月   日</w:t>
            </w:r>
          </w:p>
        </w:tc>
      </w:tr>
    </w:tbl>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8" w:lineRule="atLeast"/>
        <w:ind w:left="0" w:right="0" w:firstLine="1100" w:firstLineChars="250"/>
        <w:jc w:val="both"/>
        <w:textAlignment w:val="center"/>
        <w:rPr>
          <w:rFonts w:hint="eastAsia" w:ascii="宋体" w:hAnsi="宋体" w:eastAsia="宋体" w:cs="宋体"/>
          <w:i w:val="0"/>
          <w:iCs w:val="0"/>
          <w:caps w:val="0"/>
          <w:color w:val="333333"/>
          <w:spacing w:val="0"/>
          <w:sz w:val="44"/>
          <w:szCs w:val="44"/>
          <w:shd w:val="clear" w:fill="FFFFFF"/>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8" w:lineRule="atLeast"/>
        <w:ind w:left="0" w:right="0" w:firstLine="1100" w:firstLineChars="250"/>
        <w:jc w:val="both"/>
        <w:textAlignment w:val="center"/>
        <w:rPr>
          <w:rFonts w:hint="eastAsia" w:ascii="宋体" w:hAnsi="宋体" w:eastAsia="宋体" w:cs="宋体"/>
          <w:i w:val="0"/>
          <w:iCs w:val="0"/>
          <w:caps w:val="0"/>
          <w:color w:val="333333"/>
          <w:spacing w:val="0"/>
          <w:sz w:val="44"/>
          <w:szCs w:val="44"/>
          <w:shd w:val="clear" w:fill="FFFFFF"/>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8" w:lineRule="atLeast"/>
        <w:ind w:left="0" w:right="0" w:firstLine="1100" w:firstLineChars="250"/>
        <w:jc w:val="both"/>
        <w:textAlignment w:val="center"/>
        <w:rPr>
          <w:rFonts w:hint="eastAsia" w:ascii="宋体" w:hAnsi="宋体" w:eastAsia="宋体" w:cs="宋体"/>
          <w:i w:val="0"/>
          <w:iCs w:val="0"/>
          <w:caps w:val="0"/>
          <w:color w:val="333333"/>
          <w:spacing w:val="0"/>
          <w:sz w:val="44"/>
          <w:szCs w:val="44"/>
          <w:shd w:val="clear" w:fill="FFFFFF"/>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8" w:lineRule="atLeast"/>
        <w:ind w:left="0" w:right="0" w:firstLine="1100" w:firstLineChars="250"/>
        <w:jc w:val="both"/>
        <w:textAlignment w:val="center"/>
        <w:rPr>
          <w:rFonts w:hint="eastAsia" w:ascii="宋体" w:hAnsi="宋体" w:eastAsia="宋体" w:cs="宋体"/>
          <w:i w:val="0"/>
          <w:iCs w:val="0"/>
          <w:caps w:val="0"/>
          <w:color w:val="333333"/>
          <w:spacing w:val="0"/>
          <w:sz w:val="44"/>
          <w:szCs w:val="44"/>
          <w:shd w:val="clear" w:fill="FFFFFF"/>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8" w:lineRule="atLeast"/>
        <w:ind w:right="0" w:firstLine="883" w:firstLineChars="200"/>
        <w:jc w:val="both"/>
        <w:textAlignment w:val="center"/>
        <w:rPr>
          <w:rFonts w:hint="eastAsia" w:asciiTheme="majorEastAsia" w:hAnsiTheme="majorEastAsia" w:eastAsiaTheme="majorEastAsia" w:cstheme="majorEastAsia"/>
          <w:b/>
          <w:bCs/>
          <w:i w:val="0"/>
          <w:iCs w:val="0"/>
          <w:caps w:val="0"/>
          <w:color w:val="333333"/>
          <w:spacing w:val="0"/>
          <w:sz w:val="44"/>
          <w:szCs w:val="44"/>
          <w:shd w:val="clear" w:fill="FFFFFF"/>
        </w:rPr>
      </w:pPr>
      <w:r>
        <w:rPr>
          <w:rFonts w:hint="eastAsia" w:asciiTheme="majorEastAsia" w:hAnsiTheme="majorEastAsia" w:eastAsiaTheme="majorEastAsia" w:cstheme="majorEastAsia"/>
          <w:b/>
          <w:bCs/>
          <w:i w:val="0"/>
          <w:iCs w:val="0"/>
          <w:caps w:val="0"/>
          <w:color w:val="333333"/>
          <w:spacing w:val="0"/>
          <w:sz w:val="44"/>
          <w:szCs w:val="44"/>
          <w:shd w:val="clear" w:fill="FFFFFF"/>
        </w:rPr>
        <w:t>湘西自治州商务局部门整体支出</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8" w:lineRule="atLeast"/>
        <w:ind w:left="0" w:right="0" w:firstLine="0"/>
        <w:jc w:val="center"/>
        <w:textAlignment w:val="center"/>
        <w:rPr>
          <w:rFonts w:hint="eastAsia" w:asciiTheme="majorEastAsia" w:hAnsiTheme="majorEastAsia" w:eastAsiaTheme="majorEastAsia" w:cstheme="majorEastAsia"/>
          <w:b/>
          <w:bCs/>
          <w:i w:val="0"/>
          <w:iCs w:val="0"/>
          <w:caps w:val="0"/>
          <w:color w:val="333333"/>
          <w:spacing w:val="0"/>
          <w:sz w:val="44"/>
          <w:szCs w:val="44"/>
          <w:shd w:val="clear" w:fill="FFFFFF"/>
        </w:rPr>
      </w:pPr>
      <w:r>
        <w:rPr>
          <w:rFonts w:hint="eastAsia" w:asciiTheme="majorEastAsia" w:hAnsiTheme="majorEastAsia" w:eastAsiaTheme="majorEastAsia" w:cstheme="majorEastAsia"/>
          <w:b/>
          <w:bCs/>
          <w:i w:val="0"/>
          <w:iCs w:val="0"/>
          <w:caps w:val="0"/>
          <w:color w:val="333333"/>
          <w:spacing w:val="0"/>
          <w:sz w:val="44"/>
          <w:szCs w:val="44"/>
          <w:shd w:val="clear" w:fill="FFFFFF"/>
        </w:rPr>
        <w:t>绩效评价报告</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8" w:lineRule="atLeast"/>
        <w:ind w:left="0" w:right="0" w:firstLine="0"/>
        <w:jc w:val="center"/>
        <w:textAlignment w:val="center"/>
        <w:rPr>
          <w:rFonts w:hint="eastAsia" w:asciiTheme="minorEastAsia" w:hAnsiTheme="minorEastAsia" w:eastAsiaTheme="minorEastAsia" w:cstheme="minorEastAsia"/>
          <w:i w:val="0"/>
          <w:iCs w:val="0"/>
          <w:caps w:val="0"/>
          <w:color w:val="333333"/>
          <w:spacing w:val="0"/>
          <w:sz w:val="32"/>
          <w:szCs w:val="32"/>
          <w:shd w:val="clear" w:fill="FFFFFF"/>
          <w:lang w:val="en"/>
        </w:rPr>
      </w:pPr>
      <w:r>
        <w:rPr>
          <w:rFonts w:hint="eastAsia" w:asciiTheme="minorEastAsia" w:hAnsiTheme="minorEastAsia" w:eastAsiaTheme="minorEastAsia" w:cstheme="minorEastAsia"/>
          <w:i w:val="0"/>
          <w:iCs w:val="0"/>
          <w:caps w:val="0"/>
          <w:color w:val="333333"/>
          <w:spacing w:val="0"/>
          <w:sz w:val="32"/>
          <w:szCs w:val="32"/>
          <w:shd w:val="clear" w:fill="FFFFFF"/>
          <w:lang w:val="en"/>
        </w:rPr>
        <w:t xml:space="preserve">  </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40" w:lineRule="exact"/>
        <w:ind w:left="0" w:right="0" w:firstLine="0"/>
        <w:jc w:val="center"/>
        <w:textAlignment w:val="center"/>
        <w:rPr>
          <w:rFonts w:hint="eastAsia" w:ascii="仿宋_GB2312" w:hAnsi="仿宋_GB2312" w:eastAsia="仿宋_GB2312" w:cs="仿宋_GB2312"/>
          <w:i w:val="0"/>
          <w:iCs w:val="0"/>
          <w:caps w:val="0"/>
          <w:color w:val="333333"/>
          <w:spacing w:val="0"/>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lang w:val="en"/>
        </w:rPr>
        <w:t xml:space="preserve">   </w:t>
      </w:r>
      <w:r>
        <w:rPr>
          <w:rFonts w:hint="eastAsia" w:ascii="仿宋_GB2312" w:hAnsi="仿宋_GB2312" w:eastAsia="仿宋_GB2312" w:cs="仿宋_GB2312"/>
          <w:spacing w:val="-2"/>
          <w:sz w:val="32"/>
          <w:szCs w:val="32"/>
        </w:rPr>
        <w:t>为进一步规范财政资金管理，建立全方位、全过程、全覆盖的预算绩效管理体系，强化部门责任意识，切实提高财政资金使用效益，提升预算绩效管理水平，</w:t>
      </w:r>
      <w:r>
        <w:rPr>
          <w:rFonts w:hint="eastAsia" w:ascii="仿宋_GB2312" w:hAnsi="仿宋_GB2312" w:eastAsia="仿宋_GB2312" w:cs="仿宋_GB2312"/>
          <w:i w:val="0"/>
          <w:iCs w:val="0"/>
          <w:caps w:val="0"/>
          <w:color w:val="333333"/>
          <w:spacing w:val="0"/>
          <w:sz w:val="32"/>
          <w:szCs w:val="32"/>
          <w:shd w:val="clear" w:fill="FFFFFF"/>
        </w:rPr>
        <w:t>根据中共中央国</w:t>
      </w:r>
      <w:r>
        <w:rPr>
          <w:rFonts w:hint="eastAsia" w:ascii="仿宋_GB2312" w:hAnsi="仿宋_GB2312" w:eastAsia="仿宋_GB2312" w:cs="仿宋_GB2312"/>
          <w:spacing w:val="-2"/>
          <w:sz w:val="32"/>
          <w:szCs w:val="32"/>
        </w:rPr>
        <w:t>务院《关于全面实施预算绩效管理的意见》（中发〔2018〕34号）、《中共湖南省委办公厅 湖南省人民政府办公厅关于全面实施预算绩效管理的实施意见》（湘办发〔2019〕10号）</w:t>
      </w:r>
      <w:r>
        <w:rPr>
          <w:rFonts w:hint="eastAsia" w:ascii="仿宋_GB2312" w:hAnsi="仿宋_GB2312" w:eastAsia="仿宋_GB2312" w:cs="仿宋_GB2312"/>
          <w:spacing w:val="-2"/>
          <w:sz w:val="32"/>
          <w:szCs w:val="32"/>
          <w:lang w:val="en-US" w:eastAsia="zh-CN"/>
        </w:rPr>
        <w:t>、</w:t>
      </w:r>
      <w:r>
        <w:rPr>
          <w:rFonts w:hint="eastAsia" w:ascii="仿宋_GB2312" w:hAnsi="仿宋_GB2312" w:eastAsia="仿宋_GB2312" w:cs="仿宋_GB2312"/>
          <w:spacing w:val="-2"/>
          <w:sz w:val="32"/>
          <w:szCs w:val="32"/>
        </w:rPr>
        <w:t>《湖南省财政厅关于印发〈湖南省预算支出绩效评价管理办法〉的通知》（湘财绩〔2020〕7号）和《湘西自治州州级预算部门整体支出绩效自评操作规程》（州财绩〔2021〕6 号）等文件精神，本单位运用科学、合理的绩效评价指标、评价标准和评价方法，在收集、汇总、整理、分析相关资料及实地调研核查的基础上，对州商务局</w:t>
      </w:r>
      <w:r>
        <w:rPr>
          <w:rFonts w:hint="eastAsia" w:ascii="仿宋_GB2312" w:hAnsi="仿宋_GB2312" w:eastAsia="仿宋_GB2312" w:cs="仿宋_GB2312"/>
          <w:spacing w:val="-2"/>
          <w:sz w:val="32"/>
          <w:szCs w:val="32"/>
          <w:lang w:eastAsia="zh-CN"/>
        </w:rPr>
        <w:t>202</w:t>
      </w:r>
      <w:r>
        <w:rPr>
          <w:rFonts w:hint="eastAsia" w:ascii="仿宋_GB2312" w:hAnsi="仿宋_GB2312" w:eastAsia="仿宋_GB2312" w:cs="仿宋_GB2312"/>
          <w:spacing w:val="-2"/>
          <w:sz w:val="32"/>
          <w:szCs w:val="32"/>
          <w:lang w:val="en-US" w:eastAsia="zh-CN"/>
        </w:rPr>
        <w:t>2</w:t>
      </w:r>
      <w:r>
        <w:rPr>
          <w:rFonts w:hint="eastAsia" w:ascii="仿宋_GB2312" w:hAnsi="仿宋_GB2312" w:eastAsia="仿宋_GB2312" w:cs="仿宋_GB2312"/>
          <w:spacing w:val="-2"/>
          <w:sz w:val="32"/>
          <w:szCs w:val="32"/>
          <w:lang w:eastAsia="zh-CN"/>
        </w:rPr>
        <w:t>年度</w:t>
      </w:r>
      <w:r>
        <w:rPr>
          <w:rFonts w:hint="eastAsia" w:ascii="仿宋_GB2312" w:hAnsi="仿宋_GB2312" w:eastAsia="仿宋_GB2312" w:cs="仿宋_GB2312"/>
          <w:spacing w:val="-2"/>
          <w:sz w:val="32"/>
          <w:szCs w:val="32"/>
        </w:rPr>
        <w:t>部门整体支出的绩效情况进行了客观、公正的评价。现将情况汇报如</w:t>
      </w:r>
      <w:r>
        <w:rPr>
          <w:rFonts w:hint="eastAsia" w:ascii="仿宋_GB2312" w:hAnsi="仿宋_GB2312" w:eastAsia="仿宋_GB2312" w:cs="仿宋_GB2312"/>
          <w:i w:val="0"/>
          <w:iCs w:val="0"/>
          <w:caps w:val="0"/>
          <w:color w:val="333333"/>
          <w:spacing w:val="0"/>
          <w:sz w:val="32"/>
          <w:szCs w:val="32"/>
          <w:shd w:val="clear" w:fill="FFFFFF"/>
        </w:rPr>
        <w:t>下：</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40" w:lineRule="exact"/>
        <w:ind w:left="0" w:right="0" w:firstLine="634"/>
        <w:textAlignment w:val="center"/>
        <w:rPr>
          <w:rFonts w:hint="eastAsia" w:ascii="仿宋_GB2312" w:hAnsi="仿宋_GB2312" w:eastAsia="仿宋_GB2312" w:cs="仿宋_GB2312"/>
          <w:b/>
          <w:bCs/>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sz w:val="32"/>
          <w:szCs w:val="32"/>
          <w:shd w:val="clear" w:fill="FFFFFF"/>
        </w:rPr>
        <w:t>一、基本情况</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40" w:lineRule="exact"/>
        <w:ind w:left="0" w:right="0" w:firstLine="648"/>
        <w:textAlignment w:val="center"/>
        <w:rPr>
          <w:rFonts w:hint="eastAsia" w:ascii="仿宋_GB2312" w:hAnsi="仿宋_GB2312" w:eastAsia="仿宋_GB2312" w:cs="仿宋_GB2312"/>
          <w:spacing w:val="-2"/>
          <w:kern w:val="2"/>
          <w:sz w:val="32"/>
          <w:szCs w:val="32"/>
          <w:lang w:val="en-US" w:eastAsia="zh-CN" w:bidi="ar-SA"/>
        </w:rPr>
      </w:pPr>
      <w:r>
        <w:rPr>
          <w:rFonts w:hint="eastAsia" w:ascii="仿宋_GB2312" w:hAnsi="仿宋_GB2312" w:eastAsia="仿宋_GB2312" w:cs="仿宋_GB2312"/>
          <w:spacing w:val="-2"/>
          <w:kern w:val="2"/>
          <w:sz w:val="32"/>
          <w:szCs w:val="32"/>
          <w:lang w:val="en-US" w:eastAsia="zh-CN" w:bidi="ar-SA"/>
        </w:rPr>
        <w:t>（一）部门（单位）基本情况，部门职责概述。</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40" w:lineRule="exact"/>
        <w:ind w:left="0" w:right="0" w:firstLine="648"/>
        <w:textAlignment w:val="center"/>
        <w:rPr>
          <w:rFonts w:hint="eastAsia" w:ascii="仿宋_GB2312" w:hAnsi="仿宋_GB2312" w:eastAsia="仿宋_GB2312" w:cs="仿宋_GB2312"/>
          <w:spacing w:val="-2"/>
          <w:kern w:val="2"/>
          <w:sz w:val="32"/>
          <w:szCs w:val="32"/>
          <w:lang w:val="en-US" w:eastAsia="zh-CN" w:bidi="ar-SA"/>
        </w:rPr>
      </w:pPr>
      <w:r>
        <w:rPr>
          <w:rFonts w:hint="eastAsia" w:ascii="仿宋_GB2312" w:hAnsi="仿宋_GB2312" w:eastAsia="仿宋_GB2312" w:cs="仿宋_GB2312"/>
          <w:spacing w:val="-2"/>
          <w:kern w:val="2"/>
          <w:sz w:val="32"/>
          <w:szCs w:val="32"/>
          <w:lang w:val="en-US" w:eastAsia="zh-CN" w:bidi="ar-SA"/>
        </w:rPr>
        <w:t>州商务局为正处级全额拨款（行政）单位,事业单位法人证书统一社会信用代码114331000066864290，办公地址：湖南省湘西土家族苗族自治州吉首市世纪大道3号。局机关内设办公室（法规科）、财务科、招商联络科、承接产业转移科、市场运行调节科、市场体系建设科、流通产业发展科、电子商务科、对外贸易科、对外经济合作科、口岸科、人事科、机关党委、离退休人员管理服务科。单位下设3个二级机构,其中独立核算二级单位3个：湘西州商务局机关老干服务中心、湘西土家族苗族自治州投资促进事务中心、湘西土家族苗族自治州投资贸易促进中心。</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40" w:lineRule="exact"/>
        <w:ind w:left="0" w:right="0" w:firstLine="648"/>
        <w:textAlignment w:val="center"/>
        <w:rPr>
          <w:rFonts w:hint="eastAsia" w:ascii="仿宋_GB2312" w:hAnsi="仿宋_GB2312" w:eastAsia="仿宋_GB2312" w:cs="仿宋_GB2312"/>
          <w:spacing w:val="-2"/>
          <w:kern w:val="2"/>
          <w:sz w:val="32"/>
          <w:szCs w:val="32"/>
          <w:lang w:val="en-US" w:eastAsia="zh-CN" w:bidi="ar-SA"/>
        </w:rPr>
      </w:pPr>
      <w:r>
        <w:rPr>
          <w:rFonts w:hint="eastAsia" w:ascii="仿宋_GB2312" w:hAnsi="仿宋_GB2312" w:eastAsia="仿宋_GB2312" w:cs="仿宋_GB2312"/>
          <w:spacing w:val="-2"/>
          <w:kern w:val="2"/>
          <w:sz w:val="32"/>
          <w:szCs w:val="32"/>
          <w:lang w:val="en-US" w:eastAsia="zh-CN" w:bidi="ar-SA"/>
        </w:rPr>
        <w:t>州商务局的主要职责：</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40" w:lineRule="exact"/>
        <w:ind w:left="0" w:right="0" w:firstLine="648"/>
        <w:textAlignment w:val="center"/>
        <w:rPr>
          <w:rFonts w:hint="eastAsia" w:ascii="仿宋_GB2312" w:hAnsi="仿宋_GB2312" w:eastAsia="仿宋_GB2312" w:cs="仿宋_GB2312"/>
          <w:spacing w:val="-2"/>
          <w:kern w:val="2"/>
          <w:sz w:val="32"/>
          <w:szCs w:val="32"/>
          <w:lang w:val="en-US" w:eastAsia="zh-CN" w:bidi="ar-SA"/>
        </w:rPr>
      </w:pPr>
      <w:r>
        <w:rPr>
          <w:rFonts w:hint="eastAsia" w:ascii="仿宋_GB2312" w:hAnsi="仿宋_GB2312" w:eastAsia="仿宋_GB2312" w:cs="仿宋_GB2312"/>
          <w:spacing w:val="-2"/>
          <w:kern w:val="2"/>
          <w:sz w:val="32"/>
          <w:szCs w:val="32"/>
          <w:lang w:val="en-US" w:eastAsia="zh-CN" w:bidi="ar-SA"/>
        </w:rPr>
        <w:t>（一）贯彻执行国家和省国内外贸易、国际经济合作及区域经济合作发展战略、政策；起草我州国内外贸易、招商引资、承接产业转移、对外援助、对外投资和对外经济合作的地方性法规、政策措施和实施办法，研究经济全球化、区域经济合作、现代流通方式的发展趋势和流通体制改革，并提出建议。</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40" w:lineRule="exact"/>
        <w:ind w:left="0" w:right="0" w:firstLine="634"/>
        <w:textAlignment w:val="center"/>
        <w:rPr>
          <w:rFonts w:hint="eastAsia" w:ascii="仿宋_GB2312" w:hAnsi="仿宋_GB2312" w:eastAsia="仿宋_GB2312" w:cs="仿宋_GB2312"/>
          <w:spacing w:val="-2"/>
          <w:kern w:val="2"/>
          <w:sz w:val="32"/>
          <w:szCs w:val="32"/>
          <w:lang w:val="en-US" w:eastAsia="zh-CN" w:bidi="ar-SA"/>
        </w:rPr>
      </w:pPr>
      <w:r>
        <w:rPr>
          <w:rFonts w:hint="eastAsia" w:ascii="仿宋_GB2312" w:hAnsi="仿宋_GB2312" w:eastAsia="仿宋_GB2312" w:cs="仿宋_GB2312"/>
          <w:spacing w:val="-2"/>
          <w:kern w:val="2"/>
          <w:sz w:val="32"/>
          <w:szCs w:val="32"/>
          <w:lang w:val="en-US" w:eastAsia="zh-CN" w:bidi="ar-SA"/>
        </w:rPr>
        <w:t>（二）负责推进流通产业结构调整，指导流通企业改革，促进商贸服务业和社区商业发展，提出促进商贸中小企业发展的政策建议，推动流通标准化和连锁经营、商业特许经营、物流配送、电子商务等现代流通方式的发展。</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40" w:lineRule="exact"/>
        <w:ind w:left="0" w:right="0" w:firstLine="648"/>
        <w:textAlignment w:val="center"/>
        <w:rPr>
          <w:rFonts w:hint="eastAsia" w:ascii="仿宋_GB2312" w:hAnsi="仿宋_GB2312" w:eastAsia="仿宋_GB2312" w:cs="仿宋_GB2312"/>
          <w:spacing w:val="-2"/>
          <w:kern w:val="2"/>
          <w:sz w:val="32"/>
          <w:szCs w:val="32"/>
          <w:lang w:val="en-US" w:eastAsia="zh-CN" w:bidi="ar-SA"/>
        </w:rPr>
      </w:pPr>
      <w:r>
        <w:rPr>
          <w:rFonts w:hint="eastAsia" w:ascii="仿宋_GB2312" w:hAnsi="仿宋_GB2312" w:eastAsia="仿宋_GB2312" w:cs="仿宋_GB2312"/>
          <w:spacing w:val="-2"/>
          <w:kern w:val="2"/>
          <w:sz w:val="32"/>
          <w:szCs w:val="32"/>
          <w:lang w:val="en-US" w:eastAsia="zh-CN" w:bidi="ar-SA"/>
        </w:rPr>
        <w:t>（三）拟订全州国内贸易发展规划，促进城乡市场发展，研究提出引导国内外资金投向市场体系建设的政策建议，指导大宗产品批发市场规划和城市商业网点规划、商业体系建设工作，推进农村市场体系建设，组织实施农村现代流通网络工程。</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40" w:lineRule="exact"/>
        <w:ind w:left="0" w:right="0" w:firstLine="648"/>
        <w:textAlignment w:val="center"/>
        <w:rPr>
          <w:rFonts w:hint="eastAsia" w:ascii="仿宋_GB2312" w:hAnsi="仿宋_GB2312" w:eastAsia="仿宋_GB2312" w:cs="仿宋_GB2312"/>
          <w:spacing w:val="-2"/>
          <w:kern w:val="2"/>
          <w:sz w:val="32"/>
          <w:szCs w:val="32"/>
          <w:lang w:val="en-US" w:eastAsia="zh-CN" w:bidi="ar-SA"/>
        </w:rPr>
      </w:pPr>
      <w:r>
        <w:rPr>
          <w:rFonts w:hint="eastAsia" w:ascii="仿宋_GB2312" w:hAnsi="仿宋_GB2312" w:eastAsia="仿宋_GB2312" w:cs="仿宋_GB2312"/>
          <w:spacing w:val="-2"/>
          <w:kern w:val="2"/>
          <w:sz w:val="32"/>
          <w:szCs w:val="32"/>
          <w:lang w:val="en-US" w:eastAsia="zh-CN" w:bidi="ar-SA"/>
        </w:rPr>
        <w:t>（四）参与指导协调整顿和规范市场经济秩序工作，拟订规范市场秩序的政策；推动商务领域信用建设，指导商业信用销售，建立市场诚信公共服务平台；按有关规定对特殊流通行业进行监督。</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40" w:lineRule="exact"/>
        <w:ind w:left="0" w:right="0" w:firstLine="648"/>
        <w:textAlignment w:val="center"/>
        <w:rPr>
          <w:rFonts w:hint="eastAsia" w:ascii="仿宋_GB2312" w:hAnsi="仿宋_GB2312" w:eastAsia="仿宋_GB2312" w:cs="仿宋_GB2312"/>
          <w:spacing w:val="-2"/>
          <w:kern w:val="2"/>
          <w:sz w:val="32"/>
          <w:szCs w:val="32"/>
          <w:lang w:val="en-US" w:eastAsia="zh-CN" w:bidi="ar-SA"/>
        </w:rPr>
      </w:pPr>
      <w:r>
        <w:rPr>
          <w:rFonts w:hint="eastAsia" w:ascii="仿宋_GB2312" w:hAnsi="仿宋_GB2312" w:eastAsia="仿宋_GB2312" w:cs="仿宋_GB2312"/>
          <w:spacing w:val="-2"/>
          <w:kern w:val="2"/>
          <w:sz w:val="32"/>
          <w:szCs w:val="32"/>
          <w:lang w:val="en-US" w:eastAsia="zh-CN" w:bidi="ar-SA"/>
        </w:rPr>
        <w:t>（五）承担组织实施重要消费品市场调控和重要生产资料流通指导的责任，负责建立健全生活必需品市场供应应急管理机制，负责监测分析市场运行、商品供求状况，调查分析商品价格信息，进行预测预警和信息引导；按分工负责活体生猪商品储备和茧丝绸市场调控工作；按有关规定对成品油流通进行监督。</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40" w:lineRule="exact"/>
        <w:ind w:left="0" w:right="0" w:firstLine="648"/>
        <w:textAlignment w:val="center"/>
        <w:rPr>
          <w:rFonts w:hint="eastAsia" w:ascii="仿宋_GB2312" w:hAnsi="仿宋_GB2312" w:eastAsia="仿宋_GB2312" w:cs="仿宋_GB2312"/>
          <w:spacing w:val="-2"/>
          <w:kern w:val="2"/>
          <w:sz w:val="32"/>
          <w:szCs w:val="32"/>
          <w:lang w:val="en-US" w:eastAsia="zh-CN" w:bidi="ar-SA"/>
        </w:rPr>
      </w:pPr>
      <w:r>
        <w:rPr>
          <w:rFonts w:hint="eastAsia" w:ascii="仿宋_GB2312" w:hAnsi="仿宋_GB2312" w:eastAsia="仿宋_GB2312" w:cs="仿宋_GB2312"/>
          <w:spacing w:val="-2"/>
          <w:kern w:val="2"/>
          <w:sz w:val="32"/>
          <w:szCs w:val="32"/>
          <w:lang w:val="en-US" w:eastAsia="zh-CN" w:bidi="ar-SA"/>
        </w:rPr>
        <w:t>（六）贯彻执行国家进出口商品、加工贸易管理办法和进出口管理商品、技术目录，拟订促进外贸增长方式转变的政策措施，组织实施重要工业品、原材料和重要农产品进出口总量计划，会同有关部门协调大宗进出口商品，指导贸易促进活动和外贸促进体系建设。</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40" w:lineRule="exact"/>
        <w:ind w:left="0" w:right="0" w:firstLine="648"/>
        <w:textAlignment w:val="center"/>
        <w:rPr>
          <w:rFonts w:hint="eastAsia" w:ascii="仿宋_GB2312" w:hAnsi="仿宋_GB2312" w:eastAsia="仿宋_GB2312" w:cs="仿宋_GB2312"/>
          <w:spacing w:val="-2"/>
          <w:kern w:val="2"/>
          <w:sz w:val="32"/>
          <w:szCs w:val="32"/>
          <w:lang w:val="en-US" w:eastAsia="zh-CN" w:bidi="ar-SA"/>
        </w:rPr>
      </w:pPr>
      <w:r>
        <w:rPr>
          <w:rFonts w:hint="eastAsia" w:ascii="仿宋_GB2312" w:hAnsi="仿宋_GB2312" w:eastAsia="仿宋_GB2312" w:cs="仿宋_GB2312"/>
          <w:spacing w:val="-2"/>
          <w:kern w:val="2"/>
          <w:sz w:val="32"/>
          <w:szCs w:val="32"/>
          <w:lang w:val="en-US" w:eastAsia="zh-CN" w:bidi="ar-SA"/>
        </w:rPr>
        <w:t>（七）贯彻执行国家对外技术贸易、出口管制以及鼓励技术和成套设备进出口的贸易政策，推进进出口贸易标准化工作；依法监督技术引进、设备进口、国家限制出口技术的工作。</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40" w:lineRule="exact"/>
        <w:ind w:left="0" w:right="0" w:firstLine="648"/>
        <w:textAlignment w:val="center"/>
        <w:rPr>
          <w:rFonts w:hint="eastAsia" w:ascii="仿宋_GB2312" w:hAnsi="仿宋_GB2312" w:eastAsia="仿宋_GB2312" w:cs="仿宋_GB2312"/>
          <w:spacing w:val="-2"/>
          <w:kern w:val="2"/>
          <w:sz w:val="32"/>
          <w:szCs w:val="32"/>
          <w:lang w:val="en-US" w:eastAsia="zh-CN" w:bidi="ar-SA"/>
        </w:rPr>
      </w:pPr>
      <w:r>
        <w:rPr>
          <w:rFonts w:hint="eastAsia" w:ascii="仿宋_GB2312" w:hAnsi="仿宋_GB2312" w:eastAsia="仿宋_GB2312" w:cs="仿宋_GB2312"/>
          <w:spacing w:val="-2"/>
          <w:kern w:val="2"/>
          <w:sz w:val="32"/>
          <w:szCs w:val="32"/>
          <w:lang w:val="en-US" w:eastAsia="zh-CN" w:bidi="ar-SA"/>
        </w:rPr>
        <w:t>（八）牵头拟订服务贸易发展规划，并开展相关工作；会同有关部门制定促进服务出口、服务外包的规划、政策，并组织实施；推动服务外包平台建设。</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40" w:lineRule="exact"/>
        <w:ind w:left="0" w:right="0" w:firstLine="648"/>
        <w:textAlignment w:val="center"/>
        <w:rPr>
          <w:rFonts w:hint="eastAsia" w:ascii="仿宋_GB2312" w:hAnsi="仿宋_GB2312" w:eastAsia="仿宋_GB2312" w:cs="仿宋_GB2312"/>
          <w:spacing w:val="-2"/>
          <w:kern w:val="2"/>
          <w:sz w:val="32"/>
          <w:szCs w:val="32"/>
          <w:lang w:val="en-US" w:eastAsia="zh-CN" w:bidi="ar-SA"/>
        </w:rPr>
      </w:pPr>
      <w:r>
        <w:rPr>
          <w:rFonts w:hint="eastAsia" w:ascii="仿宋_GB2312" w:hAnsi="仿宋_GB2312" w:eastAsia="仿宋_GB2312" w:cs="仿宋_GB2312"/>
          <w:spacing w:val="-2"/>
          <w:kern w:val="2"/>
          <w:sz w:val="32"/>
          <w:szCs w:val="32"/>
          <w:lang w:val="en-US" w:eastAsia="zh-CN" w:bidi="ar-SA"/>
        </w:rPr>
        <w:t>（九）贯彻执行我国多双边（含区域、自由贸易区）经贸合作战略和政策，推进我州与其他国家（地区）的经贸往来与投资贸易合作；牵头承担我州商务领域涉及世界贸易事务的相关工作，负责对外经济贸易协调工作。</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40" w:lineRule="exact"/>
        <w:ind w:left="0" w:right="0" w:firstLine="648"/>
        <w:textAlignment w:val="center"/>
        <w:rPr>
          <w:rFonts w:hint="eastAsia" w:ascii="仿宋_GB2312" w:hAnsi="仿宋_GB2312" w:eastAsia="仿宋_GB2312" w:cs="仿宋_GB2312"/>
          <w:spacing w:val="-2"/>
          <w:kern w:val="2"/>
          <w:sz w:val="32"/>
          <w:szCs w:val="32"/>
          <w:lang w:val="en-US" w:eastAsia="zh-CN" w:bidi="ar-SA"/>
        </w:rPr>
      </w:pPr>
      <w:r>
        <w:rPr>
          <w:rFonts w:hint="eastAsia" w:ascii="仿宋_GB2312" w:hAnsi="仿宋_GB2312" w:eastAsia="仿宋_GB2312" w:cs="仿宋_GB2312"/>
          <w:spacing w:val="-2"/>
          <w:kern w:val="2"/>
          <w:sz w:val="32"/>
          <w:szCs w:val="32"/>
          <w:lang w:val="en-US" w:eastAsia="zh-CN" w:bidi="ar-SA"/>
        </w:rPr>
        <w:t>（十）承担组织协调反倾销、反补贴、保障措施及其他与进出口公平贸易相关工作，协助开展对外贸易调查和产业损害调查，指导协调产业安全应对工作。</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40" w:lineRule="exact"/>
        <w:ind w:left="0" w:right="0" w:firstLine="648"/>
        <w:textAlignment w:val="center"/>
        <w:rPr>
          <w:rFonts w:hint="eastAsia" w:ascii="仿宋_GB2312" w:hAnsi="仿宋_GB2312" w:eastAsia="仿宋_GB2312" w:cs="仿宋_GB2312"/>
          <w:spacing w:val="-2"/>
          <w:kern w:val="2"/>
          <w:sz w:val="32"/>
          <w:szCs w:val="32"/>
          <w:lang w:val="en-US" w:eastAsia="zh-CN" w:bidi="ar-SA"/>
        </w:rPr>
      </w:pPr>
      <w:r>
        <w:rPr>
          <w:rFonts w:hint="eastAsia" w:ascii="仿宋_GB2312" w:hAnsi="仿宋_GB2312" w:eastAsia="仿宋_GB2312" w:cs="仿宋_GB2312"/>
          <w:spacing w:val="-2"/>
          <w:kern w:val="2"/>
          <w:sz w:val="32"/>
          <w:szCs w:val="32"/>
          <w:lang w:val="en-US" w:eastAsia="zh-CN" w:bidi="ar-SA"/>
        </w:rPr>
        <w:t>（十一）宏观指导全州招商引资和承接产业转移工作，拟订并组织实施招商引资和承接产业转移政策；协调外商投资企业的设立及变更事项；协调重大外商投资项目的合同章程及法律特别规定的重大变更事项；依法监督检查外商投资企业执行有关法律法规规章、合同章程的情况，并协调解决有关问题；指导投资促进及全州外商投资企业审批、备案工作；规范招商引资活动；指导各级经济技术开发区的有关工作。</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40" w:lineRule="exact"/>
        <w:ind w:left="0" w:right="0" w:firstLine="648"/>
        <w:textAlignment w:val="center"/>
        <w:rPr>
          <w:rFonts w:hint="eastAsia" w:ascii="仿宋_GB2312" w:hAnsi="仿宋_GB2312" w:eastAsia="仿宋_GB2312" w:cs="仿宋_GB2312"/>
          <w:spacing w:val="-2"/>
          <w:kern w:val="2"/>
          <w:sz w:val="32"/>
          <w:szCs w:val="32"/>
          <w:lang w:val="en-US" w:eastAsia="zh-CN" w:bidi="ar-SA"/>
        </w:rPr>
      </w:pPr>
      <w:r>
        <w:rPr>
          <w:rFonts w:hint="eastAsia" w:ascii="仿宋_GB2312" w:hAnsi="仿宋_GB2312" w:eastAsia="仿宋_GB2312" w:cs="仿宋_GB2312"/>
          <w:spacing w:val="-2"/>
          <w:kern w:val="2"/>
          <w:sz w:val="32"/>
          <w:szCs w:val="32"/>
          <w:lang w:val="en-US" w:eastAsia="zh-CN" w:bidi="ar-SA"/>
        </w:rPr>
        <w:t>（十二）拟订并组织实施对外经济合作政策；依法管理和监督对外承包工程、对外劳务合作等；拟订州内人员出境就业管理政策并组织实施，负责牵头外派劳务和境外就业人员的权益保护工作；拟订境外投资的管理办法和具体政策，协调州内企业对外投资开办企业（金融企业除外）工作。</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40" w:lineRule="exact"/>
        <w:ind w:left="0" w:right="0" w:firstLine="648"/>
        <w:textAlignment w:val="center"/>
        <w:rPr>
          <w:rFonts w:hint="eastAsia" w:ascii="仿宋_GB2312" w:hAnsi="仿宋_GB2312" w:eastAsia="仿宋_GB2312" w:cs="仿宋_GB2312"/>
          <w:spacing w:val="-2"/>
          <w:kern w:val="2"/>
          <w:sz w:val="32"/>
          <w:szCs w:val="32"/>
          <w:lang w:val="en-US" w:eastAsia="zh-CN" w:bidi="ar-SA"/>
        </w:rPr>
      </w:pPr>
      <w:r>
        <w:rPr>
          <w:rFonts w:hint="eastAsia" w:ascii="仿宋_GB2312" w:hAnsi="仿宋_GB2312" w:eastAsia="仿宋_GB2312" w:cs="仿宋_GB2312"/>
          <w:spacing w:val="-2"/>
          <w:kern w:val="2"/>
          <w:sz w:val="32"/>
          <w:szCs w:val="32"/>
          <w:lang w:val="en-US" w:eastAsia="zh-CN" w:bidi="ar-SA"/>
        </w:rPr>
        <w:t>（十三）贯彻执行国家对外援助政策和方案，协调管理参与监督全州对外援助项目；协调管理多双边对我州的无偿援助和赠款（不含财政合作项目外国政府及国际金融组织的赠款）等发展合作业务。</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40" w:lineRule="exact"/>
        <w:ind w:left="0" w:right="0" w:firstLine="648"/>
        <w:textAlignment w:val="center"/>
        <w:rPr>
          <w:rFonts w:hint="eastAsia" w:ascii="仿宋_GB2312" w:hAnsi="仿宋_GB2312" w:eastAsia="仿宋_GB2312" w:cs="仿宋_GB2312"/>
          <w:spacing w:val="-2"/>
          <w:kern w:val="2"/>
          <w:sz w:val="32"/>
          <w:szCs w:val="32"/>
          <w:lang w:val="en-US" w:eastAsia="zh-CN" w:bidi="ar-SA"/>
        </w:rPr>
      </w:pPr>
      <w:r>
        <w:rPr>
          <w:rFonts w:hint="eastAsia" w:ascii="仿宋_GB2312" w:hAnsi="仿宋_GB2312" w:eastAsia="仿宋_GB2312" w:cs="仿宋_GB2312"/>
          <w:spacing w:val="-2"/>
          <w:kern w:val="2"/>
          <w:sz w:val="32"/>
          <w:szCs w:val="32"/>
          <w:lang w:val="en-US" w:eastAsia="zh-CN" w:bidi="ar-SA"/>
        </w:rPr>
        <w:t>（十四）贯彻执行国家对香港、澳门特别行政区和台湾地区的经贸规划、政策，指导我州对港、澳、台地区贸易和经贸活动，协调港、澳、台商投资管理工作。</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40" w:lineRule="exact"/>
        <w:ind w:left="0" w:right="0" w:firstLine="634"/>
        <w:textAlignment w:val="center"/>
        <w:rPr>
          <w:rFonts w:hint="eastAsia" w:ascii="仿宋_GB2312" w:hAnsi="仿宋_GB2312" w:eastAsia="仿宋_GB2312" w:cs="仿宋_GB2312"/>
          <w:spacing w:val="-2"/>
          <w:kern w:val="2"/>
          <w:sz w:val="32"/>
          <w:szCs w:val="32"/>
          <w:lang w:val="en-US" w:eastAsia="zh-CN" w:bidi="ar-SA"/>
        </w:rPr>
      </w:pPr>
      <w:r>
        <w:rPr>
          <w:rFonts w:hint="eastAsia" w:ascii="仿宋_GB2312" w:hAnsi="仿宋_GB2312" w:eastAsia="仿宋_GB2312" w:cs="仿宋_GB2312"/>
          <w:spacing w:val="-2"/>
          <w:kern w:val="2"/>
          <w:sz w:val="32"/>
          <w:szCs w:val="32"/>
          <w:lang w:val="en-US" w:eastAsia="zh-CN" w:bidi="ar-SA"/>
        </w:rPr>
        <w:t>（十五）负责全州对外开放口岸的规划、申报及有关审批工作；协调管理全州口岸工作，推动建立大通关机制；协调配合打击走私相关工作。</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40" w:lineRule="exact"/>
        <w:ind w:left="0" w:right="0" w:firstLine="648"/>
        <w:textAlignment w:val="center"/>
        <w:rPr>
          <w:rFonts w:hint="eastAsia" w:ascii="仿宋_GB2312" w:hAnsi="仿宋_GB2312" w:eastAsia="仿宋_GB2312" w:cs="仿宋_GB2312"/>
          <w:spacing w:val="-2"/>
          <w:kern w:val="2"/>
          <w:sz w:val="32"/>
          <w:szCs w:val="32"/>
          <w:lang w:val="en-US" w:eastAsia="zh-CN" w:bidi="ar-SA"/>
        </w:rPr>
      </w:pPr>
      <w:r>
        <w:rPr>
          <w:rFonts w:hint="eastAsia" w:ascii="仿宋_GB2312" w:hAnsi="仿宋_GB2312" w:eastAsia="仿宋_GB2312" w:cs="仿宋_GB2312"/>
          <w:spacing w:val="-2"/>
          <w:kern w:val="2"/>
          <w:sz w:val="32"/>
          <w:szCs w:val="32"/>
          <w:lang w:val="en-US" w:eastAsia="zh-CN" w:bidi="ar-SA"/>
        </w:rPr>
        <w:t>（十六）承担会展业促进与管理工作责任，参与指导在本州境内举办的对外经济技术展览会工作。</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40" w:lineRule="exact"/>
        <w:ind w:left="0" w:right="0" w:firstLine="648"/>
        <w:textAlignment w:val="center"/>
        <w:rPr>
          <w:rFonts w:hint="eastAsia" w:ascii="仿宋_GB2312" w:hAnsi="仿宋_GB2312" w:eastAsia="仿宋_GB2312" w:cs="仿宋_GB2312"/>
          <w:spacing w:val="-2"/>
          <w:kern w:val="2"/>
          <w:sz w:val="32"/>
          <w:szCs w:val="32"/>
          <w:lang w:val="en-US" w:eastAsia="zh-CN" w:bidi="ar-SA"/>
        </w:rPr>
      </w:pPr>
      <w:r>
        <w:rPr>
          <w:rFonts w:hint="eastAsia" w:ascii="仿宋_GB2312" w:hAnsi="仿宋_GB2312" w:eastAsia="仿宋_GB2312" w:cs="仿宋_GB2312"/>
          <w:spacing w:val="-2"/>
          <w:kern w:val="2"/>
          <w:sz w:val="32"/>
          <w:szCs w:val="32"/>
          <w:lang w:val="en-US" w:eastAsia="zh-CN" w:bidi="ar-SA"/>
        </w:rPr>
        <w:t>（十七）承担全州商务系统统计及其信息发布工作，提供信息咨询服务，指导全州流通领域信息网络和电子商务建设。</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40" w:lineRule="exact"/>
        <w:ind w:left="0" w:right="0" w:firstLine="648"/>
        <w:textAlignment w:val="center"/>
        <w:rPr>
          <w:rFonts w:hint="eastAsia" w:ascii="仿宋_GB2312" w:hAnsi="仿宋_GB2312" w:eastAsia="仿宋_GB2312" w:cs="仿宋_GB2312"/>
          <w:spacing w:val="-2"/>
          <w:kern w:val="2"/>
          <w:sz w:val="32"/>
          <w:szCs w:val="32"/>
          <w:lang w:val="en-US" w:eastAsia="zh-CN" w:bidi="ar-SA"/>
        </w:rPr>
      </w:pPr>
      <w:r>
        <w:rPr>
          <w:rFonts w:hint="eastAsia" w:ascii="仿宋_GB2312" w:hAnsi="仿宋_GB2312" w:eastAsia="仿宋_GB2312" w:cs="仿宋_GB2312"/>
          <w:spacing w:val="-2"/>
          <w:kern w:val="2"/>
          <w:sz w:val="32"/>
          <w:szCs w:val="32"/>
          <w:lang w:val="en-US" w:eastAsia="zh-CN" w:bidi="ar-SA"/>
        </w:rPr>
        <w:t>（十八）指导协调石油工作；指导县市、湘西经济开发区管委会的商务、招资引资工作。</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40" w:lineRule="exact"/>
        <w:ind w:left="0" w:right="0" w:firstLine="0"/>
        <w:jc w:val="left"/>
        <w:textAlignment w:val="center"/>
        <w:rPr>
          <w:rFonts w:hint="eastAsia" w:ascii="仿宋_GB2312" w:hAnsi="仿宋_GB2312" w:eastAsia="仿宋_GB2312" w:cs="仿宋_GB2312"/>
          <w:spacing w:val="-2"/>
          <w:kern w:val="2"/>
          <w:sz w:val="32"/>
          <w:szCs w:val="32"/>
          <w:lang w:val="en-US" w:eastAsia="zh-CN" w:bidi="ar-SA"/>
        </w:rPr>
      </w:pPr>
      <w:r>
        <w:rPr>
          <w:rFonts w:hint="eastAsia" w:ascii="仿宋_GB2312" w:hAnsi="仿宋_GB2312" w:eastAsia="仿宋_GB2312" w:cs="仿宋_GB2312"/>
          <w:spacing w:val="-2"/>
          <w:kern w:val="2"/>
          <w:sz w:val="32"/>
          <w:szCs w:val="32"/>
          <w:lang w:val="en-US" w:eastAsia="zh-CN" w:bidi="ar-SA"/>
        </w:rPr>
        <w:t>    （十九）承办州人民政府交办的其他事项。</w:t>
      </w:r>
    </w:p>
    <w:p>
      <w:pPr>
        <w:pStyle w:val="9"/>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40" w:lineRule="exact"/>
        <w:ind w:left="0" w:right="0" w:firstLine="648"/>
        <w:textAlignment w:val="center"/>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部门（单位）年度整体支出绩效目标，州级专项资金绩效目标、其他项目支出（除州级专项资金以外）绩效目标</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40" w:lineRule="exact"/>
        <w:ind w:right="0" w:firstLine="632" w:firstLineChars="200"/>
        <w:textAlignment w:val="center"/>
        <w:rPr>
          <w:rFonts w:hint="eastAsia" w:ascii="仿宋_GB2312" w:hAnsi="仿宋_GB2312" w:eastAsia="仿宋_GB2312" w:cs="仿宋_GB2312"/>
          <w:spacing w:val="-2"/>
          <w:kern w:val="2"/>
          <w:sz w:val="32"/>
          <w:szCs w:val="32"/>
          <w:lang w:val="en-US" w:eastAsia="zh-CN" w:bidi="ar-SA"/>
        </w:rPr>
      </w:pPr>
      <w:r>
        <w:rPr>
          <w:rFonts w:hint="eastAsia" w:ascii="仿宋_GB2312" w:hAnsi="仿宋_GB2312" w:eastAsia="仿宋_GB2312" w:cs="仿宋_GB2312"/>
          <w:spacing w:val="-2"/>
          <w:kern w:val="2"/>
          <w:sz w:val="32"/>
          <w:szCs w:val="32"/>
          <w:lang w:val="en-US" w:eastAsia="zh-CN" w:bidi="ar-SA"/>
        </w:rPr>
        <w:t>1、单位年度整体支出绩效目标：坚持稳中求进工作总基调，贯彻落实省委、省政府“三高四新”战略和州委建设“三区两地”“五个湘西”发展思路，组织开展州级重点招商活动，大力推进产业项目招商；努力扩大对外贸易，加快壮大外贸主体，参加进博会、中非经贸博览会、国际消费品博览会、口岸博览会等国内外重点会展，推广湘西优质产品，开拓外贸国际市场，保持外贸外资持续稳定增长；搞活内贸流通，促进消费，重点培育限上商贸流通企业，加快电子商务发展；优化环境，规范经营秩序，推动我州经济又好又快发展。</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40" w:lineRule="exact"/>
        <w:ind w:left="0" w:right="0" w:firstLine="648"/>
        <w:textAlignment w:val="center"/>
        <w:rPr>
          <w:rFonts w:hint="eastAsia" w:ascii="仿宋_GB2312" w:hAnsi="仿宋_GB2312" w:eastAsia="仿宋_GB2312" w:cs="仿宋_GB2312"/>
          <w:spacing w:val="-2"/>
          <w:kern w:val="2"/>
          <w:sz w:val="32"/>
          <w:szCs w:val="32"/>
          <w:lang w:val="en-US" w:eastAsia="zh-CN" w:bidi="ar-SA"/>
        </w:rPr>
      </w:pPr>
      <w:r>
        <w:rPr>
          <w:rFonts w:hint="eastAsia" w:ascii="仿宋_GB2312" w:hAnsi="仿宋_GB2312" w:eastAsia="仿宋_GB2312" w:cs="仿宋_GB2312"/>
          <w:spacing w:val="-2"/>
          <w:kern w:val="2"/>
          <w:sz w:val="32"/>
          <w:szCs w:val="32"/>
          <w:lang w:val="en-US" w:eastAsia="zh-CN" w:bidi="ar-SA"/>
        </w:rPr>
        <w:t>2、州级专项资金绩效目标：全年招商引资引进省外境内资金150亿人民币，引进“三类500强”企业新投资项目4个；完成外贸进出口总额12亿人民币。</w:t>
      </w:r>
    </w:p>
    <w:p>
      <w:pPr>
        <w:keepNext w:val="0"/>
        <w:keepLines w:val="0"/>
        <w:pageBreakBefore w:val="0"/>
        <w:kinsoku/>
        <w:wordWrap/>
        <w:overflowPunct/>
        <w:topLinePunct w:val="0"/>
        <w:autoSpaceDE/>
        <w:autoSpaceDN/>
        <w:bidi w:val="0"/>
        <w:spacing w:line="540" w:lineRule="exact"/>
        <w:ind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二、一般公共预算支出情况</w:t>
      </w:r>
    </w:p>
    <w:p>
      <w:pPr>
        <w:keepNext w:val="0"/>
        <w:keepLines w:val="0"/>
        <w:pageBreakBefore w:val="0"/>
        <w:kinsoku/>
        <w:wordWrap/>
        <w:overflowPunct/>
        <w:topLinePunct w:val="0"/>
        <w:autoSpaceDE/>
        <w:autoSpaceDN/>
        <w:bidi w:val="0"/>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（一）基本支出情况</w:t>
      </w:r>
    </w:p>
    <w:p>
      <w:pPr>
        <w:keepNext w:val="0"/>
        <w:keepLines w:val="0"/>
        <w:pageBreakBefore w:val="0"/>
        <w:kinsoku/>
        <w:wordWrap/>
        <w:overflowPunct/>
        <w:topLinePunct w:val="0"/>
        <w:autoSpaceDE/>
        <w:autoSpaceDN/>
        <w:bidi w:val="0"/>
        <w:spacing w:line="540" w:lineRule="exact"/>
        <w:ind w:firstLine="316" w:firstLineChars="100"/>
        <w:jc w:val="left"/>
        <w:rPr>
          <w:rFonts w:hint="eastAsia" w:ascii="仿宋_GB2312" w:hAnsi="仿宋_GB2312" w:eastAsia="仿宋_GB2312" w:cs="仿宋_GB2312"/>
          <w:spacing w:val="-2"/>
          <w:kern w:val="2"/>
          <w:sz w:val="32"/>
          <w:szCs w:val="32"/>
          <w:lang w:val="en-US" w:eastAsia="zh-CN" w:bidi="ar-SA"/>
        </w:rPr>
      </w:pPr>
      <w:r>
        <w:rPr>
          <w:rFonts w:hint="eastAsia" w:ascii="仿宋_GB2312" w:hAnsi="仿宋_GB2312" w:eastAsia="仿宋_GB2312" w:cs="仿宋_GB2312"/>
          <w:spacing w:val="-2"/>
          <w:kern w:val="2"/>
          <w:sz w:val="32"/>
          <w:szCs w:val="32"/>
          <w:lang w:val="en-US" w:eastAsia="zh-CN" w:bidi="ar-SA"/>
        </w:rPr>
        <w:t>2022年州商务局基本支出决算数21511540.72元。具体明细如下：</w:t>
      </w:r>
    </w:p>
    <w:p>
      <w:pPr>
        <w:keepNext w:val="0"/>
        <w:keepLines w:val="0"/>
        <w:pageBreakBefore w:val="0"/>
        <w:numPr>
          <w:ilvl w:val="0"/>
          <w:numId w:val="0"/>
        </w:numPr>
        <w:kinsoku/>
        <w:wordWrap/>
        <w:overflowPunct/>
        <w:topLinePunct w:val="0"/>
        <w:autoSpaceDE/>
        <w:autoSpaceDN/>
        <w:bidi w:val="0"/>
        <w:spacing w:line="540" w:lineRule="exact"/>
        <w:ind w:firstLine="632" w:firstLineChars="200"/>
        <w:jc w:val="left"/>
        <w:rPr>
          <w:rFonts w:hint="eastAsia" w:ascii="仿宋_GB2312" w:hAnsi="仿宋_GB2312" w:eastAsia="仿宋_GB2312" w:cs="仿宋_GB2312"/>
          <w:spacing w:val="-2"/>
          <w:kern w:val="2"/>
          <w:sz w:val="32"/>
          <w:szCs w:val="32"/>
          <w:lang w:val="en-US" w:eastAsia="zh-CN" w:bidi="ar-SA"/>
        </w:rPr>
      </w:pPr>
      <w:r>
        <w:rPr>
          <w:rFonts w:hint="eastAsia" w:ascii="仿宋_GB2312" w:hAnsi="仿宋_GB2312" w:eastAsia="仿宋_GB2312" w:cs="仿宋_GB2312"/>
          <w:spacing w:val="-2"/>
          <w:kern w:val="2"/>
          <w:sz w:val="32"/>
          <w:szCs w:val="32"/>
          <w:lang w:val="en-US" w:eastAsia="zh-CN" w:bidi="ar-SA"/>
        </w:rPr>
        <w:t>1、工资福利支出9084532.7元，其中：基本工资3115431.02元，津贴补贴1319840.00元，奖金166359.00元，绩效工资607684.5元，机关事业单位基本养老保险缴费806711.9元，职工基本医疗保险缴费544703.19元，公务员医疗补助缴费249108.24元，其他社会保障缴费55249.42元，住房公积金1095510.00元，医疗费220982.89元，其他工资福利支出902952.54元；</w:t>
      </w:r>
    </w:p>
    <w:p>
      <w:pPr>
        <w:keepNext w:val="0"/>
        <w:keepLines w:val="0"/>
        <w:pageBreakBefore w:val="0"/>
        <w:numPr>
          <w:ilvl w:val="0"/>
          <w:numId w:val="0"/>
        </w:numPr>
        <w:kinsoku/>
        <w:wordWrap/>
        <w:overflowPunct/>
        <w:topLinePunct w:val="0"/>
        <w:autoSpaceDE/>
        <w:autoSpaceDN/>
        <w:bidi w:val="0"/>
        <w:spacing w:line="540" w:lineRule="exact"/>
        <w:ind w:firstLine="632" w:firstLineChars="200"/>
        <w:jc w:val="left"/>
        <w:rPr>
          <w:rFonts w:hint="eastAsia" w:ascii="仿宋_GB2312" w:hAnsi="仿宋_GB2312" w:eastAsia="仿宋_GB2312" w:cs="仿宋_GB2312"/>
          <w:spacing w:val="-2"/>
          <w:kern w:val="2"/>
          <w:sz w:val="32"/>
          <w:szCs w:val="32"/>
          <w:lang w:val="en-US" w:eastAsia="zh-CN" w:bidi="ar-SA"/>
        </w:rPr>
      </w:pPr>
      <w:r>
        <w:rPr>
          <w:rFonts w:hint="eastAsia" w:ascii="仿宋_GB2312" w:hAnsi="仿宋_GB2312" w:eastAsia="仿宋_GB2312" w:cs="仿宋_GB2312"/>
          <w:spacing w:val="-2"/>
          <w:kern w:val="2"/>
          <w:sz w:val="32"/>
          <w:szCs w:val="32"/>
          <w:lang w:val="en-US" w:eastAsia="zh-CN" w:bidi="ar-SA"/>
        </w:rPr>
        <w:t>2、商品和服务支出2205299.97元，其中：办公费92617.36元，印刷费63元，水费33448.38元，电费52106.24元，邮电费7044.54元，物业管理费34050.00元，差旅费79373.00元，维修（护）费348549.02元，培训费21157.2元，劳务费116561.00元，工会经费192800.91元，福利费103857.00元,公务用车运行维护费3400.00元，其他交通费用441593.75元，税金及附加费用14754.58元，其他商品和服务支出663923.99元；</w:t>
      </w:r>
    </w:p>
    <w:p>
      <w:pPr>
        <w:keepNext w:val="0"/>
        <w:keepLines w:val="0"/>
        <w:pageBreakBefore w:val="0"/>
        <w:numPr>
          <w:ilvl w:val="0"/>
          <w:numId w:val="0"/>
        </w:numPr>
        <w:kinsoku/>
        <w:wordWrap/>
        <w:overflowPunct/>
        <w:topLinePunct w:val="0"/>
        <w:autoSpaceDE/>
        <w:autoSpaceDN/>
        <w:bidi w:val="0"/>
        <w:spacing w:line="540" w:lineRule="exact"/>
        <w:ind w:firstLine="632" w:firstLineChars="200"/>
        <w:jc w:val="left"/>
        <w:rPr>
          <w:rFonts w:hint="eastAsia" w:ascii="仿宋_GB2312" w:hAnsi="仿宋_GB2312" w:eastAsia="仿宋_GB2312" w:cs="仿宋_GB2312"/>
          <w:spacing w:val="-2"/>
          <w:kern w:val="2"/>
          <w:sz w:val="32"/>
          <w:szCs w:val="32"/>
          <w:lang w:val="en-US" w:eastAsia="zh-CN" w:bidi="ar-SA"/>
        </w:rPr>
      </w:pPr>
      <w:r>
        <w:rPr>
          <w:rFonts w:hint="eastAsia" w:ascii="仿宋_GB2312" w:hAnsi="仿宋_GB2312" w:eastAsia="仿宋_GB2312" w:cs="仿宋_GB2312"/>
          <w:spacing w:val="-2"/>
          <w:kern w:val="2"/>
          <w:sz w:val="32"/>
          <w:szCs w:val="32"/>
          <w:lang w:val="en-US" w:eastAsia="zh-CN" w:bidi="ar-SA"/>
        </w:rPr>
        <w:t>3、对个人和家庭的补助9997168.05元，其中：离休费433418.00元，抚恤金1019065.00元，生活补助144210.00元，医疗费补助1516320.18元，奖励金2883627.00元，其他对个人和家庭的补助4000527.87元；</w:t>
      </w:r>
    </w:p>
    <w:p>
      <w:pPr>
        <w:pStyle w:val="14"/>
        <w:rPr>
          <w:rFonts w:hint="default"/>
          <w:lang w:val="en-US" w:eastAsia="zh-CN"/>
        </w:rPr>
      </w:pPr>
      <w:r>
        <w:rPr>
          <w:rFonts w:hint="eastAsia" w:ascii="仿宋_GB2312" w:hAnsi="仿宋_GB2312" w:eastAsia="仿宋_GB2312" w:cs="仿宋_GB2312"/>
          <w:spacing w:val="-2"/>
          <w:kern w:val="2"/>
          <w:sz w:val="32"/>
          <w:szCs w:val="32"/>
          <w:lang w:val="en-US" w:eastAsia="zh-CN" w:bidi="ar-SA"/>
        </w:rPr>
        <w:t xml:space="preserve">    4、资本性支出224540.00元，其中：办公设备购置28740.00元，其他资本性支出195800.00元；</w:t>
      </w:r>
    </w:p>
    <w:p>
      <w:pPr>
        <w:keepNext w:val="0"/>
        <w:keepLines w:val="0"/>
        <w:pageBreakBefore w:val="0"/>
        <w:kinsoku/>
        <w:wordWrap/>
        <w:overflowPunct/>
        <w:topLinePunct w:val="0"/>
        <w:autoSpaceDE/>
        <w:autoSpaceDN/>
        <w:bidi w:val="0"/>
        <w:spacing w:line="540" w:lineRule="exact"/>
        <w:ind w:firstLine="643"/>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（二）项目支出情况</w:t>
      </w:r>
    </w:p>
    <w:p>
      <w:pPr>
        <w:pStyle w:val="16"/>
        <w:keepNext w:val="0"/>
        <w:keepLines w:val="0"/>
        <w:pageBreakBefore w:val="0"/>
        <w:widowControl/>
        <w:kinsoku/>
        <w:wordWrap/>
        <w:overflowPunct/>
        <w:topLinePunct w:val="0"/>
        <w:autoSpaceDE/>
        <w:autoSpaceDN/>
        <w:bidi w:val="0"/>
        <w:spacing w:line="540" w:lineRule="exact"/>
        <w:ind w:left="0" w:leftChars="0" w:firstLine="948" w:firstLineChars="300"/>
        <w:rPr>
          <w:rFonts w:hint="eastAsia" w:ascii="仿宋_GB2312" w:hAnsi="仿宋_GB2312" w:eastAsia="仿宋_GB2312" w:cs="仿宋_GB2312"/>
          <w:spacing w:val="-2"/>
          <w:kern w:val="2"/>
          <w:sz w:val="32"/>
          <w:szCs w:val="32"/>
          <w:lang w:val="en-US" w:eastAsia="zh-CN" w:bidi="ar-SA"/>
        </w:rPr>
      </w:pPr>
      <w:r>
        <w:rPr>
          <w:rFonts w:hint="eastAsia" w:ascii="仿宋_GB2312" w:hAnsi="仿宋_GB2312" w:eastAsia="仿宋_GB2312" w:cs="仿宋_GB2312"/>
          <w:spacing w:val="-2"/>
          <w:kern w:val="2"/>
          <w:sz w:val="32"/>
          <w:szCs w:val="32"/>
          <w:lang w:val="en-US" w:eastAsia="zh-CN" w:bidi="ar-SA"/>
        </w:rPr>
        <w:t>2022年州商务局本级项目支出决算数20600802.77元。具体明细如下：</w:t>
      </w:r>
    </w:p>
    <w:p>
      <w:pPr>
        <w:pStyle w:val="16"/>
        <w:keepNext w:val="0"/>
        <w:keepLines w:val="0"/>
        <w:pageBreakBefore w:val="0"/>
        <w:widowControl/>
        <w:numPr>
          <w:ilvl w:val="0"/>
          <w:numId w:val="3"/>
        </w:numPr>
        <w:kinsoku/>
        <w:wordWrap/>
        <w:overflowPunct/>
        <w:topLinePunct w:val="0"/>
        <w:autoSpaceDE/>
        <w:autoSpaceDN/>
        <w:bidi w:val="0"/>
        <w:spacing w:line="540" w:lineRule="exact"/>
        <w:rPr>
          <w:rFonts w:hint="eastAsia" w:ascii="仿宋_GB2312" w:hAnsi="仿宋_GB2312" w:eastAsia="仿宋_GB2312" w:cs="仿宋_GB2312"/>
          <w:spacing w:val="-2"/>
          <w:kern w:val="2"/>
          <w:sz w:val="32"/>
          <w:szCs w:val="32"/>
          <w:lang w:val="en-US" w:eastAsia="zh-CN" w:bidi="ar-SA"/>
        </w:rPr>
      </w:pPr>
      <w:r>
        <w:rPr>
          <w:rFonts w:hint="eastAsia" w:ascii="仿宋_GB2312" w:hAnsi="仿宋_GB2312" w:eastAsia="仿宋_GB2312" w:cs="仿宋_GB2312"/>
          <w:spacing w:val="-2"/>
          <w:kern w:val="2"/>
          <w:sz w:val="32"/>
          <w:szCs w:val="32"/>
          <w:lang w:val="en" w:eastAsia="zh-CN" w:bidi="ar-SA"/>
        </w:rPr>
        <w:t>聘用人员其他工资福利支出</w:t>
      </w:r>
      <w:r>
        <w:rPr>
          <w:rFonts w:hint="eastAsia" w:ascii="仿宋_GB2312" w:hAnsi="仿宋_GB2312" w:eastAsia="仿宋_GB2312" w:cs="仿宋_GB2312"/>
          <w:spacing w:val="-2"/>
          <w:kern w:val="2"/>
          <w:sz w:val="32"/>
          <w:szCs w:val="32"/>
          <w:lang w:val="en-US" w:eastAsia="zh-CN" w:bidi="ar-SA"/>
        </w:rPr>
        <w:t>23746.00元；</w:t>
      </w:r>
    </w:p>
    <w:p>
      <w:pPr>
        <w:pStyle w:val="16"/>
        <w:keepNext w:val="0"/>
        <w:keepLines w:val="0"/>
        <w:pageBreakBefore w:val="0"/>
        <w:widowControl/>
        <w:numPr>
          <w:ilvl w:val="0"/>
          <w:numId w:val="0"/>
        </w:numPr>
        <w:kinsoku/>
        <w:wordWrap/>
        <w:overflowPunct/>
        <w:topLinePunct w:val="0"/>
        <w:autoSpaceDE/>
        <w:autoSpaceDN/>
        <w:bidi w:val="0"/>
        <w:spacing w:line="540" w:lineRule="exact"/>
        <w:ind w:firstLine="632" w:firstLineChars="200"/>
        <w:rPr>
          <w:rFonts w:hint="eastAsia" w:ascii="仿宋_GB2312" w:hAnsi="仿宋_GB2312" w:eastAsia="仿宋_GB2312" w:cs="仿宋_GB2312"/>
          <w:spacing w:val="-2"/>
          <w:kern w:val="2"/>
          <w:sz w:val="32"/>
          <w:szCs w:val="32"/>
          <w:lang w:val="en-US" w:eastAsia="zh-CN" w:bidi="ar-SA"/>
        </w:rPr>
      </w:pPr>
      <w:r>
        <w:rPr>
          <w:rFonts w:hint="eastAsia" w:ascii="仿宋_GB2312" w:hAnsi="仿宋_GB2312" w:eastAsia="仿宋_GB2312" w:cs="仿宋_GB2312"/>
          <w:spacing w:val="-2"/>
          <w:kern w:val="2"/>
          <w:sz w:val="32"/>
          <w:szCs w:val="32"/>
          <w:lang w:val="en-US" w:eastAsia="zh-CN" w:bidi="ar-SA"/>
        </w:rPr>
        <w:t>2、商品和服务支出8923143.47元，其中：办公费213963.75元，印刷费45335.40元，手续费4788.00元，邮电费74939.13元，物业管理费31380.00元，差旅费366920.78元，维修（护）费171506.00元，租赁费1220.00元，会议费39470.00元，培训费66423.70元，公务接待费72076.80元，劳务费256801.09元，福利费5400.00元，公务用车运行维护费224772.89元，其他交通费用74540.00元,其他商品和服务支出7272935.93元；</w:t>
      </w:r>
    </w:p>
    <w:p>
      <w:pPr>
        <w:pStyle w:val="16"/>
        <w:keepNext w:val="0"/>
        <w:keepLines w:val="0"/>
        <w:pageBreakBefore w:val="0"/>
        <w:widowControl/>
        <w:numPr>
          <w:ilvl w:val="0"/>
          <w:numId w:val="0"/>
        </w:numPr>
        <w:kinsoku/>
        <w:wordWrap/>
        <w:overflowPunct/>
        <w:topLinePunct w:val="0"/>
        <w:autoSpaceDE/>
        <w:autoSpaceDN/>
        <w:bidi w:val="0"/>
        <w:spacing w:line="540" w:lineRule="exact"/>
        <w:rPr>
          <w:rFonts w:hint="default" w:ascii="仿宋_GB2312" w:hAnsi="仿宋_GB2312" w:eastAsia="仿宋_GB2312" w:cs="仿宋_GB2312"/>
          <w:spacing w:val="-2"/>
          <w:kern w:val="2"/>
          <w:sz w:val="32"/>
          <w:szCs w:val="32"/>
          <w:lang w:val="en-US" w:eastAsia="zh-CN" w:bidi="ar-SA"/>
        </w:rPr>
      </w:pPr>
      <w:r>
        <w:rPr>
          <w:rFonts w:hint="eastAsia" w:ascii="仿宋_GB2312" w:hAnsi="仿宋_GB2312" w:eastAsia="仿宋_GB2312" w:cs="仿宋_GB2312"/>
          <w:spacing w:val="-2"/>
          <w:kern w:val="2"/>
          <w:sz w:val="32"/>
          <w:szCs w:val="32"/>
          <w:lang w:val="en-US" w:eastAsia="zh-CN" w:bidi="ar-SA"/>
        </w:rPr>
        <w:t xml:space="preserve">    3、对个人和家庭补助支出60000.00元，其中：医疗费补助60000.00元；</w:t>
      </w:r>
    </w:p>
    <w:p>
      <w:pPr>
        <w:keepNext w:val="0"/>
        <w:keepLines w:val="0"/>
        <w:pageBreakBefore w:val="0"/>
        <w:numPr>
          <w:ilvl w:val="0"/>
          <w:numId w:val="0"/>
        </w:numPr>
        <w:kinsoku/>
        <w:wordWrap/>
        <w:overflowPunct/>
        <w:topLinePunct w:val="0"/>
        <w:autoSpaceDE/>
        <w:autoSpaceDN/>
        <w:bidi w:val="0"/>
        <w:spacing w:line="540" w:lineRule="exact"/>
        <w:ind w:leftChars="200" w:firstLine="316" w:firstLineChars="100"/>
        <w:jc w:val="left"/>
        <w:rPr>
          <w:rFonts w:hint="eastAsia" w:ascii="仿宋_GB2312" w:hAnsi="仿宋_GB2312" w:eastAsia="仿宋_GB2312" w:cs="仿宋_GB2312"/>
          <w:spacing w:val="-2"/>
          <w:kern w:val="2"/>
          <w:sz w:val="32"/>
          <w:szCs w:val="32"/>
          <w:lang w:val="en-US" w:eastAsia="zh-CN" w:bidi="ar-SA"/>
        </w:rPr>
      </w:pPr>
      <w:r>
        <w:rPr>
          <w:rFonts w:hint="eastAsia" w:ascii="仿宋_GB2312" w:hAnsi="仿宋_GB2312" w:eastAsia="仿宋_GB2312" w:cs="仿宋_GB2312"/>
          <w:spacing w:val="-2"/>
          <w:kern w:val="2"/>
          <w:sz w:val="32"/>
          <w:szCs w:val="32"/>
          <w:lang w:val="en-US" w:eastAsia="zh-CN" w:bidi="ar-SA"/>
        </w:rPr>
        <w:t>4、资本性支出82682.00元，其中：办公设备购置82682.00元。</w:t>
      </w:r>
    </w:p>
    <w:p>
      <w:pPr>
        <w:pStyle w:val="8"/>
        <w:keepNext w:val="0"/>
        <w:keepLines w:val="0"/>
        <w:pageBreakBefore w:val="0"/>
        <w:kinsoku/>
        <w:wordWrap/>
        <w:overflowPunct/>
        <w:topLinePunct w:val="0"/>
        <w:autoSpaceDE/>
        <w:autoSpaceDN/>
        <w:bidi w:val="0"/>
        <w:spacing w:line="54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pacing w:val="-2"/>
          <w:kern w:val="2"/>
          <w:sz w:val="32"/>
          <w:szCs w:val="32"/>
          <w:lang w:val="en-US" w:eastAsia="zh-CN" w:bidi="ar-SA"/>
        </w:rPr>
        <w:t xml:space="preserve">     5、其他对企业补助支出11511231.30元；</w:t>
      </w:r>
    </w:p>
    <w:p>
      <w:pPr>
        <w:pStyle w:val="16"/>
        <w:keepNext w:val="0"/>
        <w:keepLines w:val="0"/>
        <w:pageBreakBefore w:val="0"/>
        <w:widowControl/>
        <w:kinsoku/>
        <w:wordWrap/>
        <w:overflowPunct/>
        <w:topLinePunct w:val="0"/>
        <w:autoSpaceDE/>
        <w:autoSpaceDN/>
        <w:bidi w:val="0"/>
        <w:spacing w:line="540" w:lineRule="exact"/>
        <w:ind w:firstLine="600"/>
        <w:rPr>
          <w:rFonts w:hint="default" w:ascii="仿宋_GB2312" w:hAnsi="仿宋_GB2312" w:eastAsia="仿宋_GB2312" w:cs="仿宋_GB2312"/>
          <w:spacing w:val="-2"/>
          <w:kern w:val="2"/>
          <w:sz w:val="32"/>
          <w:szCs w:val="32"/>
          <w:lang w:val="en-US" w:eastAsia="zh-CN" w:bidi="ar-SA"/>
        </w:rPr>
      </w:pPr>
      <w:r>
        <w:rPr>
          <w:rFonts w:hint="eastAsia" w:ascii="仿宋_GB2312" w:hAnsi="仿宋_GB2312" w:eastAsia="仿宋_GB2312" w:cs="仿宋_GB2312"/>
          <w:b w:val="0"/>
          <w:bCs w:val="0"/>
          <w:spacing w:val="-2"/>
          <w:kern w:val="2"/>
          <w:sz w:val="32"/>
          <w:szCs w:val="32"/>
          <w:lang w:val="en-US" w:eastAsia="zh-CN" w:bidi="ar-SA"/>
        </w:rPr>
        <w:t>一是一般公共服务支出3858998.77元。（1）</w:t>
      </w:r>
      <w:r>
        <w:rPr>
          <w:rFonts w:hint="eastAsia" w:ascii="仿宋_GB2312" w:hAnsi="仿宋_GB2312" w:eastAsia="仿宋_GB2312" w:cs="仿宋_GB2312"/>
          <w:spacing w:val="-2"/>
          <w:kern w:val="2"/>
          <w:sz w:val="32"/>
          <w:szCs w:val="32"/>
          <w:lang w:val="en-US" w:eastAsia="zh-CN" w:bidi="ar-SA"/>
        </w:rPr>
        <w:t>2022年政府收支预算支出功能科目“2010399其他政府办公厅（室）及相关机构事务支出”310565.10元，主要是中石油中石化2021年政府目标奖150000.00元（过路资金）及开展内联引资、投资促进事务等相关工作经费。（2）2022年政府收支预算支出功能科目“2011308招商引资”“2011399其他商贸事务”支出3548433.67元，主要用于开展湘商回归系列活动、云招商专项活动、招商推介会、拍摄招商宣传片及小分队招商、驻点招商等招商引资相关工作支出。</w:t>
      </w:r>
    </w:p>
    <w:p>
      <w:pPr>
        <w:pStyle w:val="16"/>
        <w:keepNext w:val="0"/>
        <w:keepLines w:val="0"/>
        <w:pageBreakBefore w:val="0"/>
        <w:widowControl/>
        <w:kinsoku/>
        <w:wordWrap/>
        <w:overflowPunct/>
        <w:topLinePunct w:val="0"/>
        <w:autoSpaceDE/>
        <w:autoSpaceDN/>
        <w:bidi w:val="0"/>
        <w:spacing w:line="540" w:lineRule="exact"/>
        <w:ind w:firstLine="6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pacing w:val="-2"/>
          <w:kern w:val="2"/>
          <w:sz w:val="32"/>
          <w:szCs w:val="32"/>
          <w:lang w:val="en-US" w:eastAsia="zh-CN" w:bidi="ar-SA"/>
        </w:rPr>
        <w:t>二是商业服务业等支出16730014.00元。（1）2022年政府收支预算支出功能科目“2160299其他商业流通事务支出”16060626.30元，主要用于大宗农产品销售奖补4000000.00元（分配给县市），东西部扶贫协作资金2815800.00元（奖补给企业的过路资金）、发放政府消费券7975231.30元、市场监测资金170000.00元、商务预报媒体合作信息发布费150000.00元、电子商务及农产品销售经费421595.00元、消费促进工作经费500000.00元及项目审计费28000.00元。（2）2022年政府收支预算支出功能科目“2160699其他涉外发展服务支出”669387.70元，主要是参加省级跨境电商活动开支234347.00元、组织外贸企业参展及开展外贸稳增长相关工作开支355364.70元、</w:t>
      </w:r>
      <w:r>
        <w:rPr>
          <w:rFonts w:hint="eastAsia" w:ascii="仿宋_GB2312" w:hAnsi="仿宋_GB2312" w:eastAsia="仿宋_GB2312" w:cs="仿宋_GB2312"/>
          <w:sz w:val="32"/>
          <w:szCs w:val="32"/>
        </w:rPr>
        <w:t>对外劳务平台建设</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支出</w:t>
      </w:r>
      <w:r>
        <w:rPr>
          <w:rFonts w:hint="eastAsia" w:ascii="仿宋_GB2312" w:hAnsi="仿宋_GB2312" w:eastAsia="仿宋_GB2312" w:cs="仿宋_GB2312"/>
          <w:sz w:val="32"/>
          <w:szCs w:val="32"/>
          <w:lang w:val="en-US" w:eastAsia="zh-CN"/>
        </w:rPr>
        <w:t>79676.00元。</w:t>
      </w:r>
    </w:p>
    <w:p>
      <w:pPr>
        <w:pStyle w:val="16"/>
        <w:keepNext w:val="0"/>
        <w:keepLines w:val="0"/>
        <w:pageBreakBefore w:val="0"/>
        <w:widowControl/>
        <w:kinsoku/>
        <w:wordWrap/>
        <w:overflowPunct/>
        <w:topLinePunct w:val="0"/>
        <w:autoSpaceDE/>
        <w:autoSpaceDN/>
        <w:bidi w:val="0"/>
        <w:spacing w:line="540" w:lineRule="exact"/>
        <w:ind w:firstLine="6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三是其他支出11790.00元，</w:t>
      </w:r>
      <w:r>
        <w:rPr>
          <w:rFonts w:hint="eastAsia" w:ascii="仿宋_GB2312" w:hAnsi="仿宋_GB2312" w:eastAsia="仿宋_GB2312" w:cs="仿宋_GB2312"/>
          <w:spacing w:val="-2"/>
          <w:kern w:val="2"/>
          <w:sz w:val="32"/>
          <w:szCs w:val="32"/>
          <w:lang w:val="en-US" w:eastAsia="zh-CN" w:bidi="ar-SA"/>
        </w:rPr>
        <w:t>2022年政府收支预算支出功能科目“2299999其他支出”11790.00元，用于开展物流产业链调研相关工作经费。</w:t>
      </w:r>
    </w:p>
    <w:p>
      <w:pPr>
        <w:keepNext w:val="0"/>
        <w:keepLines w:val="0"/>
        <w:pageBreakBefore w:val="0"/>
        <w:numPr>
          <w:ilvl w:val="0"/>
          <w:numId w:val="0"/>
        </w:numPr>
        <w:kinsoku/>
        <w:wordWrap/>
        <w:overflowPunct/>
        <w:topLinePunct w:val="0"/>
        <w:autoSpaceDE/>
        <w:autoSpaceDN/>
        <w:bidi w:val="0"/>
        <w:spacing w:line="540" w:lineRule="exact"/>
        <w:ind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政府性基金预算支出情况</w:t>
      </w:r>
    </w:p>
    <w:p>
      <w:pPr>
        <w:pStyle w:val="2"/>
        <w:keepNext w:val="0"/>
        <w:keepLines w:val="0"/>
        <w:pageBreakBefore w:val="0"/>
        <w:kinsoku/>
        <w:wordWrap/>
        <w:overflowPunct/>
        <w:topLinePunct w:val="0"/>
        <w:autoSpaceDE/>
        <w:autoSpaceDN/>
        <w:bidi w:val="0"/>
        <w:spacing w:line="540" w:lineRule="exact"/>
        <w:ind w:firstLine="1920" w:firstLineChars="6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无</w:t>
      </w:r>
    </w:p>
    <w:p>
      <w:pPr>
        <w:keepNext w:val="0"/>
        <w:keepLines w:val="0"/>
        <w:pageBreakBefore w:val="0"/>
        <w:numPr>
          <w:ilvl w:val="0"/>
          <w:numId w:val="4"/>
        </w:numPr>
        <w:kinsoku/>
        <w:wordWrap/>
        <w:overflowPunct/>
        <w:topLinePunct w:val="0"/>
        <w:autoSpaceDE/>
        <w:autoSpaceDN/>
        <w:bidi w:val="0"/>
        <w:spacing w:line="540" w:lineRule="exact"/>
        <w:ind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国有资本经营预算支出情况</w:t>
      </w:r>
    </w:p>
    <w:p>
      <w:pPr>
        <w:spacing w:line="560" w:lineRule="exact"/>
        <w:ind w:firstLine="632" w:firstLineChars="200"/>
        <w:rPr>
          <w:rFonts w:hint="eastAsia" w:ascii="仿宋_GB2312" w:hAnsi="仿宋_GB2312" w:eastAsia="仿宋_GB2312" w:cs="仿宋_GB2312"/>
          <w:spacing w:val="-2"/>
          <w:kern w:val="2"/>
          <w:sz w:val="32"/>
          <w:szCs w:val="32"/>
          <w:lang w:val="en-US" w:eastAsia="zh-CN" w:bidi="ar-SA"/>
        </w:rPr>
      </w:pPr>
      <w:r>
        <w:rPr>
          <w:rFonts w:hint="eastAsia" w:ascii="仿宋_GB2312" w:hAnsi="仿宋_GB2312" w:eastAsia="仿宋_GB2312" w:cs="仿宋_GB2312"/>
          <w:spacing w:val="-2"/>
          <w:kern w:val="2"/>
          <w:sz w:val="32"/>
          <w:szCs w:val="32"/>
          <w:lang w:val="en-US" w:eastAsia="zh-CN" w:bidi="ar-SA"/>
        </w:rPr>
        <w:t>2022年本单位国有资本经营的非税收入预算为256万元，主要是光明八大仓库的资产租赁收入。根据《湘西自治州财政局关于2019年州本级非税收入执收成本核定的通知》（州财非税[2018]14号）的要求,本单位的非税收入从2019年1月1日起按“国有资产有偿使用收入征收成本率为30%”执行。按此本单位光明仓库收入的70%上缴财政,30%返回给我单位。2021年我单位光明八大仓库的资产租赁收入财政定性为经营收入,所以我单位的非税收入从纳入公共预算管理调整为纳入专户管理，财政统筹比例从70%降为20%,所以我单位的非税拨款增加了，预算支出相应也增加了。2022年本单位国有资本经营预算总支出为181.41万元，用于光明仓库聘用人员的薪酬、仓库管理、安全保卫、水电费用、维护维修费等开支，以保障光明仓库的正常运转。</w:t>
      </w:r>
      <w:bookmarkStart w:id="0" w:name="_Hlk41593237"/>
      <w:bookmarkEnd w:id="0"/>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40" w:lineRule="exact"/>
        <w:ind w:right="0" w:firstLine="642" w:firstLineChars="200"/>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五、社会保险基金预算支出情况</w:t>
      </w:r>
    </w:p>
    <w:p>
      <w:pPr>
        <w:pStyle w:val="2"/>
        <w:keepNext w:val="0"/>
        <w:keepLines w:val="0"/>
        <w:pageBreakBefore w:val="0"/>
        <w:kinsoku/>
        <w:wordWrap/>
        <w:overflowPunct/>
        <w:topLinePunct w:val="0"/>
        <w:autoSpaceDE/>
        <w:autoSpaceDN/>
        <w:bidi w:val="0"/>
        <w:spacing w:line="540" w:lineRule="exact"/>
        <w:ind w:firstLine="1920" w:firstLineChars="6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无</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40" w:lineRule="exact"/>
        <w:ind w:right="0" w:rightChars="0" w:firstLine="642" w:firstLineChars="200"/>
        <w:textAlignment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kern w:val="2"/>
          <w:sz w:val="32"/>
          <w:szCs w:val="32"/>
          <w:lang w:val="en-US" w:eastAsia="zh-CN" w:bidi="ar-SA"/>
        </w:rPr>
        <w:t>六、部门整体支出绩效情况</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jc w:val="left"/>
        <w:textAlignment w:val="auto"/>
        <w:rPr>
          <w:rStyle w:val="32"/>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全州</w:t>
      </w:r>
      <w:r>
        <w:rPr>
          <w:rStyle w:val="32"/>
          <w:rFonts w:hint="eastAsia" w:ascii="仿宋_GB2312" w:hAnsi="仿宋_GB2312" w:eastAsia="仿宋_GB2312" w:cs="仿宋_GB2312"/>
          <w:color w:val="auto"/>
          <w:sz w:val="32"/>
          <w:szCs w:val="32"/>
        </w:rPr>
        <w:t>招商引资到位资金208.7亿元、增长22.7%。实际使用外资609.2万美元，增长99.7%。引进“三类500强”企业新投资项目14个，完成年度目标任务（5个）的280%，创历史新高。外贸进出口实现21.63亿元，增长28.4%，增幅排全省第</w:t>
      </w:r>
      <w:r>
        <w:rPr>
          <w:rStyle w:val="32"/>
          <w:rFonts w:hint="eastAsia" w:ascii="仿宋_GB2312" w:hAnsi="仿宋_GB2312" w:eastAsia="仿宋_GB2312" w:cs="仿宋_GB2312"/>
          <w:color w:val="auto"/>
          <w:sz w:val="32"/>
          <w:szCs w:val="32"/>
          <w:lang w:val="en-US"/>
        </w:rPr>
        <w:t>7位</w:t>
      </w:r>
      <w:r>
        <w:rPr>
          <w:rStyle w:val="32"/>
          <w:rFonts w:hint="eastAsia" w:ascii="仿宋_GB2312" w:hAnsi="仿宋_GB2312" w:eastAsia="仿宋_GB2312" w:cs="仿宋_GB2312"/>
          <w:color w:val="auto"/>
          <w:sz w:val="32"/>
          <w:szCs w:val="32"/>
        </w:rPr>
        <w:t>。社会消费品零售总额284亿元，增长2.1%。实现电子商务交易额160.8亿元，增长33.5%。各项指标稳中有升。</w:t>
      </w:r>
    </w:p>
    <w:p>
      <w:pPr>
        <w:keepNext w:val="0"/>
        <w:keepLines w:val="0"/>
        <w:pageBreakBefore w:val="0"/>
        <w:widowControl w:val="0"/>
        <w:kinsoku/>
        <w:wordWrap/>
        <w:overflowPunct/>
        <w:topLinePunct w:val="0"/>
        <w:autoSpaceDE/>
        <w:autoSpaceDN/>
        <w:bidi w:val="0"/>
        <w:adjustRightInd w:val="0"/>
        <w:snapToGrid w:val="0"/>
        <w:spacing w:line="540" w:lineRule="exact"/>
        <w:ind w:firstLine="321" w:firstLineChars="100"/>
        <w:jc w:val="left"/>
        <w:textAlignment w:val="auto"/>
        <w:rPr>
          <w:rStyle w:val="32"/>
          <w:rFonts w:hint="eastAsia" w:ascii="仿宋_GB2312" w:hAnsi="仿宋_GB2312" w:eastAsia="仿宋_GB2312" w:cs="仿宋_GB2312"/>
          <w:sz w:val="32"/>
          <w:szCs w:val="32"/>
        </w:rPr>
      </w:pPr>
      <w:r>
        <w:rPr>
          <w:rFonts w:hint="eastAsia" w:ascii="仿宋_GB2312" w:hAnsi="仿宋_GB2312" w:eastAsia="仿宋_GB2312" w:cs="仿宋_GB2312"/>
          <w:b/>
          <w:bCs/>
          <w:kern w:val="0"/>
          <w:sz w:val="32"/>
          <w:szCs w:val="32"/>
        </w:rPr>
        <w:t>（一）</w:t>
      </w:r>
      <w:r>
        <w:rPr>
          <w:rFonts w:hint="eastAsia" w:ascii="仿宋_GB2312" w:hAnsi="仿宋_GB2312" w:eastAsia="仿宋_GB2312" w:cs="仿宋_GB2312"/>
          <w:b/>
          <w:bCs/>
          <w:kern w:val="0"/>
          <w:sz w:val="32"/>
          <w:szCs w:val="32"/>
          <w:lang w:val="en-US" w:eastAsia="zh-CN"/>
        </w:rPr>
        <w:t>招商引资</w:t>
      </w:r>
      <w:r>
        <w:rPr>
          <w:rFonts w:hint="eastAsia" w:ascii="仿宋_GB2312" w:hAnsi="仿宋_GB2312" w:eastAsia="仿宋_GB2312" w:cs="仿宋_GB2312"/>
          <w:b/>
          <w:bCs/>
          <w:kern w:val="0"/>
          <w:sz w:val="32"/>
          <w:szCs w:val="32"/>
        </w:rPr>
        <w:t>成效显著。</w:t>
      </w:r>
      <w:r>
        <w:rPr>
          <w:rFonts w:hint="eastAsia" w:ascii="仿宋_GB2312" w:hAnsi="仿宋_GB2312" w:eastAsia="仿宋_GB2312" w:cs="仿宋_GB2312"/>
          <w:color w:val="000000"/>
          <w:sz w:val="32"/>
          <w:szCs w:val="32"/>
        </w:rPr>
        <w:t>始终</w:t>
      </w:r>
      <w:r>
        <w:rPr>
          <w:rFonts w:hint="eastAsia" w:ascii="仿宋_GB2312" w:hAnsi="仿宋_GB2312" w:eastAsia="仿宋_GB2312" w:cs="仿宋_GB2312"/>
          <w:color w:val="auto"/>
          <w:sz w:val="32"/>
          <w:szCs w:val="32"/>
        </w:rPr>
        <w:t>把招商引资作为发展实体经济的第一选择</w:t>
      </w:r>
      <w:r>
        <w:rPr>
          <w:rFonts w:hint="eastAsia" w:ascii="仿宋_GB2312" w:hAnsi="仿宋_GB2312" w:eastAsia="仿宋_GB2312" w:cs="仿宋_GB2312"/>
          <w:color w:val="auto"/>
          <w:sz w:val="32"/>
          <w:szCs w:val="32"/>
          <w:lang w:eastAsia="zh-CN"/>
        </w:rPr>
        <w:t>，</w:t>
      </w:r>
      <w:r>
        <w:rPr>
          <w:rStyle w:val="32"/>
          <w:rFonts w:hint="eastAsia" w:ascii="仿宋_GB2312" w:hAnsi="仿宋_GB2312" w:eastAsia="仿宋_GB2312" w:cs="仿宋_GB2312"/>
          <w:sz w:val="32"/>
          <w:szCs w:val="32"/>
        </w:rPr>
        <w:t>出台《湘西自治州优势产业精准招商行动计划（2022-2025）》，</w:t>
      </w:r>
      <w:r>
        <w:rPr>
          <w:rStyle w:val="32"/>
          <w:rFonts w:hint="eastAsia" w:ascii="仿宋_GB2312" w:hAnsi="仿宋_GB2312" w:eastAsia="仿宋_GB2312" w:cs="仿宋_GB2312"/>
          <w:color w:val="auto"/>
          <w:sz w:val="32"/>
          <w:szCs w:val="32"/>
        </w:rPr>
        <w:t>积极</w:t>
      </w:r>
      <w:r>
        <w:rPr>
          <w:rFonts w:hint="eastAsia" w:ascii="仿宋_GB2312" w:hAnsi="仿宋_GB2312" w:eastAsia="仿宋_GB2312" w:cs="仿宋_GB2312"/>
          <w:color w:val="auto"/>
          <w:sz w:val="32"/>
          <w:szCs w:val="32"/>
        </w:rPr>
        <w:t>开展驻点招商、节会招商、“云招商”系列活动</w:t>
      </w:r>
      <w:r>
        <w:rPr>
          <w:rFonts w:hint="eastAsia" w:ascii="仿宋_GB2312" w:hAnsi="仿宋_GB2312" w:eastAsia="仿宋_GB2312" w:cs="仿宋_GB2312"/>
          <w:color w:val="auto"/>
          <w:sz w:val="32"/>
          <w:szCs w:val="32"/>
          <w:lang w:eastAsia="zh-CN"/>
        </w:rPr>
        <w:t>，</w:t>
      </w:r>
      <w:r>
        <w:rPr>
          <w:rStyle w:val="32"/>
          <w:rFonts w:hint="eastAsia" w:ascii="仿宋_GB2312" w:hAnsi="仿宋_GB2312" w:eastAsia="仿宋_GB2312" w:cs="仿宋_GB2312"/>
          <w:sz w:val="32"/>
          <w:szCs w:val="32"/>
        </w:rPr>
        <w:t>累计新签约项目</w:t>
      </w:r>
      <w:r>
        <w:rPr>
          <w:rStyle w:val="32"/>
          <w:rFonts w:hint="eastAsia" w:ascii="仿宋_GB2312" w:hAnsi="仿宋_GB2312" w:eastAsia="仿宋_GB2312" w:cs="仿宋_GB2312"/>
          <w:sz w:val="32"/>
          <w:szCs w:val="32"/>
          <w:lang w:val="en-US" w:eastAsia="zh-CN"/>
        </w:rPr>
        <w:t>1</w:t>
      </w:r>
      <w:r>
        <w:rPr>
          <w:rStyle w:val="32"/>
          <w:rFonts w:hint="eastAsia" w:ascii="仿宋_GB2312" w:hAnsi="仿宋_GB2312" w:eastAsia="仿宋_GB2312" w:cs="仿宋_GB2312"/>
          <w:sz w:val="32"/>
          <w:szCs w:val="32"/>
          <w:lang w:val="en" w:eastAsia="zh-CN"/>
        </w:rPr>
        <w:t>16</w:t>
      </w:r>
      <w:r>
        <w:rPr>
          <w:rStyle w:val="32"/>
          <w:rFonts w:hint="eastAsia" w:ascii="仿宋_GB2312" w:hAnsi="仿宋_GB2312" w:eastAsia="仿宋_GB2312" w:cs="仿宋_GB2312"/>
          <w:sz w:val="32"/>
          <w:szCs w:val="32"/>
        </w:rPr>
        <w:t>个、</w:t>
      </w:r>
      <w:r>
        <w:rPr>
          <w:rStyle w:val="32"/>
          <w:rFonts w:hint="eastAsia" w:ascii="仿宋_GB2312" w:hAnsi="仿宋_GB2312" w:eastAsia="仿宋_GB2312" w:cs="仿宋_GB2312"/>
          <w:sz w:val="32"/>
          <w:szCs w:val="32"/>
          <w:lang w:val="en-US" w:eastAsia="zh-CN"/>
        </w:rPr>
        <w:t>合同</w:t>
      </w:r>
      <w:r>
        <w:rPr>
          <w:rStyle w:val="32"/>
          <w:rFonts w:hint="eastAsia" w:ascii="仿宋_GB2312" w:hAnsi="仿宋_GB2312" w:eastAsia="仿宋_GB2312" w:cs="仿宋_GB2312"/>
          <w:sz w:val="32"/>
          <w:szCs w:val="32"/>
        </w:rPr>
        <w:t>引资</w:t>
      </w:r>
      <w:r>
        <w:rPr>
          <w:rStyle w:val="32"/>
          <w:rFonts w:hint="eastAsia" w:ascii="仿宋_GB2312" w:hAnsi="仿宋_GB2312" w:eastAsia="仿宋_GB2312" w:cs="仿宋_GB2312"/>
          <w:sz w:val="32"/>
          <w:szCs w:val="32"/>
          <w:lang w:val="en"/>
        </w:rPr>
        <w:t>1133</w:t>
      </w:r>
      <w:r>
        <w:rPr>
          <w:rStyle w:val="32"/>
          <w:rFonts w:hint="eastAsia" w:ascii="仿宋_GB2312" w:hAnsi="仿宋_GB2312" w:eastAsia="仿宋_GB2312" w:cs="仿宋_GB2312"/>
          <w:sz w:val="32"/>
          <w:szCs w:val="32"/>
        </w:rPr>
        <w:t>亿元。州委书记虢正贵亲自对接重要客商、洽谈重大项目，</w:t>
      </w:r>
      <w:r>
        <w:rPr>
          <w:rStyle w:val="32"/>
          <w:rFonts w:hint="eastAsia" w:ascii="仿宋_GB2312" w:hAnsi="仿宋_GB2312" w:eastAsia="仿宋_GB2312" w:cs="仿宋_GB2312"/>
          <w:sz w:val="32"/>
          <w:szCs w:val="32"/>
          <w:lang w:val="en-US" w:eastAsia="zh-CN"/>
        </w:rPr>
        <w:t>促成</w:t>
      </w:r>
      <w:r>
        <w:rPr>
          <w:rStyle w:val="32"/>
          <w:rFonts w:hint="eastAsia" w:ascii="仿宋_GB2312" w:hAnsi="仿宋_GB2312" w:eastAsia="仿宋_GB2312" w:cs="仿宋_GB2312"/>
          <w:sz w:val="32"/>
          <w:szCs w:val="32"/>
        </w:rPr>
        <w:t>与中国长江三峡集团湖南分公司进行战略合作。</w:t>
      </w:r>
      <w:r>
        <w:rPr>
          <w:rStyle w:val="32"/>
          <w:rFonts w:hint="eastAsia" w:ascii="仿宋_GB2312" w:hAnsi="仿宋_GB2312" w:eastAsia="仿宋_GB2312" w:cs="仿宋_GB2312"/>
          <w:sz w:val="32"/>
          <w:szCs w:val="32"/>
          <w:lang w:val="en-US" w:eastAsia="zh-CN"/>
        </w:rPr>
        <w:t>分管副州长马碧多次</w:t>
      </w:r>
      <w:r>
        <w:rPr>
          <w:rStyle w:val="32"/>
          <w:rFonts w:hint="eastAsia" w:ascii="仿宋_GB2312" w:hAnsi="仿宋_GB2312" w:eastAsia="仿宋_GB2312" w:cs="仿宋_GB2312"/>
          <w:sz w:val="32"/>
          <w:szCs w:val="32"/>
        </w:rPr>
        <w:t>带队赴粤港澳大湾区</w:t>
      </w:r>
      <w:r>
        <w:rPr>
          <w:rStyle w:val="32"/>
          <w:rFonts w:hint="eastAsia" w:ascii="仿宋_GB2312" w:hAnsi="仿宋_GB2312" w:eastAsia="仿宋_GB2312" w:cs="仿宋_GB2312"/>
          <w:sz w:val="32"/>
          <w:szCs w:val="32"/>
          <w:lang w:eastAsia="zh-CN"/>
        </w:rPr>
        <w:t>、</w:t>
      </w:r>
      <w:r>
        <w:rPr>
          <w:rStyle w:val="32"/>
          <w:rFonts w:hint="eastAsia" w:ascii="仿宋_GB2312" w:hAnsi="仿宋_GB2312" w:eastAsia="仿宋_GB2312" w:cs="仿宋_GB2312"/>
          <w:sz w:val="32"/>
          <w:szCs w:val="32"/>
          <w:lang w:val="en-US" w:eastAsia="zh-CN"/>
        </w:rPr>
        <w:t>长三角等地招商</w:t>
      </w:r>
      <w:r>
        <w:rPr>
          <w:rStyle w:val="32"/>
          <w:rFonts w:hint="eastAsia" w:ascii="仿宋_GB2312" w:hAnsi="仿宋_GB2312" w:eastAsia="仿宋_GB2312" w:cs="仿宋_GB2312"/>
          <w:sz w:val="32"/>
          <w:szCs w:val="32"/>
        </w:rPr>
        <w:t>，拜访华润集团、深圳湖南商会等企业、商协会</w:t>
      </w:r>
      <w:r>
        <w:rPr>
          <w:rStyle w:val="32"/>
          <w:rFonts w:hint="eastAsia" w:ascii="仿宋_GB2312" w:hAnsi="仿宋_GB2312" w:eastAsia="仿宋_GB2312" w:cs="仿宋_GB2312"/>
          <w:sz w:val="32"/>
          <w:szCs w:val="32"/>
          <w:lang w:val="en-US" w:eastAsia="zh-CN"/>
        </w:rPr>
        <w:t>50余</w:t>
      </w:r>
      <w:r>
        <w:rPr>
          <w:rStyle w:val="32"/>
          <w:rFonts w:hint="eastAsia" w:ascii="仿宋_GB2312" w:hAnsi="仿宋_GB2312" w:eastAsia="仿宋_GB2312" w:cs="仿宋_GB2312"/>
          <w:sz w:val="32"/>
          <w:szCs w:val="32"/>
        </w:rPr>
        <w:t>家，对接花垣十八洞沉浸式文旅体验中心等</w:t>
      </w:r>
      <w:r>
        <w:rPr>
          <w:rStyle w:val="32"/>
          <w:rFonts w:hint="eastAsia" w:ascii="仿宋_GB2312" w:hAnsi="仿宋_GB2312" w:eastAsia="仿宋_GB2312" w:cs="仿宋_GB2312"/>
          <w:sz w:val="32"/>
          <w:szCs w:val="32"/>
          <w:lang w:val="en-US" w:eastAsia="zh-CN"/>
        </w:rPr>
        <w:t>40多</w:t>
      </w:r>
      <w:r>
        <w:rPr>
          <w:rStyle w:val="32"/>
          <w:rFonts w:hint="eastAsia" w:ascii="仿宋_GB2312" w:hAnsi="仿宋_GB2312" w:eastAsia="仿宋_GB2312" w:cs="仿宋_GB2312"/>
          <w:sz w:val="32"/>
          <w:szCs w:val="32"/>
        </w:rPr>
        <w:t>个项目。在全省率先制定湘商回归工作方案、全民招商倡议短视频，网络观看逾1000万人次，营造了浓厚的招商氛围。</w:t>
      </w:r>
      <w:r>
        <w:rPr>
          <w:rFonts w:hint="eastAsia" w:ascii="仿宋_GB2312" w:hAnsi="仿宋_GB2312" w:eastAsia="仿宋_GB2312" w:cs="仿宋_GB2312"/>
          <w:color w:val="auto"/>
          <w:sz w:val="32"/>
          <w:szCs w:val="32"/>
        </w:rPr>
        <w:t>成功引进三峡集团、正威集团、大唐西市集团、快手集团等一批战略投资者。大力实施“湘商回归”行动，</w:t>
      </w:r>
      <w:r>
        <w:rPr>
          <w:rStyle w:val="32"/>
          <w:rFonts w:hint="eastAsia" w:ascii="仿宋_GB2312" w:hAnsi="仿宋_GB2312" w:eastAsia="仿宋_GB2312" w:cs="仿宋_GB2312"/>
          <w:color w:val="auto"/>
          <w:sz w:val="32"/>
          <w:szCs w:val="32"/>
        </w:rPr>
        <w:t>湘商投资到位资金64.94亿元，占全州招商引资到位资金总量的31.1%</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全年</w:t>
      </w:r>
      <w:r>
        <w:rPr>
          <w:rStyle w:val="32"/>
          <w:rFonts w:hint="eastAsia" w:ascii="仿宋_GB2312" w:hAnsi="仿宋_GB2312" w:eastAsia="仿宋_GB2312" w:cs="仿宋_GB2312"/>
          <w:sz w:val="32"/>
          <w:szCs w:val="32"/>
        </w:rPr>
        <w:t>全州省外境内到位资金完成</w:t>
      </w:r>
      <w:r>
        <w:rPr>
          <w:rStyle w:val="32"/>
          <w:rFonts w:hint="eastAsia" w:ascii="仿宋_GB2312" w:hAnsi="仿宋_GB2312" w:eastAsia="仿宋_GB2312" w:cs="仿宋_GB2312"/>
          <w:sz w:val="32"/>
          <w:szCs w:val="32"/>
          <w:lang w:val="en-US"/>
        </w:rPr>
        <w:t>208.7</w:t>
      </w:r>
      <w:r>
        <w:rPr>
          <w:rStyle w:val="32"/>
          <w:rFonts w:hint="eastAsia" w:ascii="仿宋_GB2312" w:hAnsi="仿宋_GB2312" w:eastAsia="仿宋_GB2312" w:cs="仿宋_GB2312"/>
          <w:sz w:val="32"/>
          <w:szCs w:val="32"/>
        </w:rPr>
        <w:t>亿元，完成年度目标任务（</w:t>
      </w:r>
      <w:r>
        <w:rPr>
          <w:rStyle w:val="32"/>
          <w:rFonts w:hint="eastAsia" w:ascii="仿宋_GB2312" w:hAnsi="仿宋_GB2312" w:eastAsia="仿宋_GB2312" w:cs="仿宋_GB2312"/>
          <w:sz w:val="32"/>
          <w:szCs w:val="32"/>
          <w:lang w:val="en-US"/>
        </w:rPr>
        <w:t>240亿元）的102.3%，</w:t>
      </w:r>
      <w:r>
        <w:rPr>
          <w:rStyle w:val="32"/>
          <w:rFonts w:hint="eastAsia" w:ascii="仿宋_GB2312" w:hAnsi="仿宋_GB2312" w:eastAsia="仿宋_GB2312" w:cs="仿宋_GB2312"/>
          <w:sz w:val="32"/>
          <w:szCs w:val="32"/>
        </w:rPr>
        <w:t>同比增长</w:t>
      </w:r>
      <w:r>
        <w:rPr>
          <w:rStyle w:val="32"/>
          <w:rFonts w:hint="eastAsia" w:ascii="仿宋_GB2312" w:hAnsi="仿宋_GB2312" w:eastAsia="仿宋_GB2312" w:cs="仿宋_GB2312"/>
          <w:sz w:val="32"/>
          <w:szCs w:val="32"/>
          <w:lang w:val="en-US"/>
        </w:rPr>
        <w:t>22.7</w:t>
      </w:r>
      <w:r>
        <w:rPr>
          <w:rStyle w:val="32"/>
          <w:rFonts w:hint="eastAsia" w:ascii="仿宋_GB2312" w:hAnsi="仿宋_GB2312" w:eastAsia="仿宋_GB2312" w:cs="仿宋_GB2312"/>
          <w:sz w:val="32"/>
          <w:szCs w:val="32"/>
        </w:rPr>
        <w:t>%。其中湘商回湘投资实际到位资金</w:t>
      </w:r>
      <w:r>
        <w:rPr>
          <w:rStyle w:val="32"/>
          <w:rFonts w:hint="eastAsia" w:ascii="仿宋_GB2312" w:hAnsi="仿宋_GB2312" w:eastAsia="仿宋_GB2312" w:cs="仿宋_GB2312"/>
          <w:sz w:val="32"/>
          <w:szCs w:val="32"/>
          <w:lang w:val="en-US" w:eastAsia="zh-CN"/>
        </w:rPr>
        <w:t>64.9</w:t>
      </w:r>
      <w:r>
        <w:rPr>
          <w:rStyle w:val="32"/>
          <w:rFonts w:hint="eastAsia" w:ascii="仿宋_GB2312" w:hAnsi="仿宋_GB2312" w:eastAsia="仿宋_GB2312" w:cs="仿宋_GB2312"/>
          <w:sz w:val="32"/>
          <w:szCs w:val="32"/>
        </w:rPr>
        <w:t>亿元</w:t>
      </w:r>
      <w:r>
        <w:rPr>
          <w:rStyle w:val="32"/>
          <w:rFonts w:hint="eastAsia" w:ascii="仿宋_GB2312" w:hAnsi="仿宋_GB2312" w:eastAsia="仿宋_GB2312" w:cs="仿宋_GB2312"/>
          <w:sz w:val="32"/>
          <w:szCs w:val="32"/>
          <w:lang w:eastAsia="zh-CN"/>
        </w:rPr>
        <w:t>，</w:t>
      </w:r>
      <w:r>
        <w:rPr>
          <w:rStyle w:val="32"/>
          <w:rFonts w:hint="eastAsia" w:ascii="仿宋_GB2312" w:hAnsi="仿宋_GB2312" w:eastAsia="仿宋_GB2312" w:cs="仿宋_GB2312"/>
          <w:sz w:val="32"/>
          <w:szCs w:val="32"/>
        </w:rPr>
        <w:t>完成年度任务（40亿元）的1</w:t>
      </w:r>
      <w:r>
        <w:rPr>
          <w:rStyle w:val="32"/>
          <w:rFonts w:hint="eastAsia" w:ascii="仿宋_GB2312" w:hAnsi="仿宋_GB2312" w:eastAsia="仿宋_GB2312" w:cs="仿宋_GB2312"/>
          <w:sz w:val="32"/>
          <w:szCs w:val="32"/>
          <w:lang w:val="en-US"/>
        </w:rPr>
        <w:t>62</w:t>
      </w:r>
      <w:r>
        <w:rPr>
          <w:rStyle w:val="32"/>
          <w:rFonts w:hint="eastAsia" w:ascii="仿宋_GB2312" w:hAnsi="仿宋_GB2312" w:eastAsia="仿宋_GB2312" w:cs="仿宋_GB2312"/>
          <w:sz w:val="32"/>
          <w:szCs w:val="32"/>
        </w:rPr>
        <w:t>.</w:t>
      </w:r>
      <w:r>
        <w:rPr>
          <w:rStyle w:val="32"/>
          <w:rFonts w:hint="eastAsia" w:ascii="仿宋_GB2312" w:hAnsi="仿宋_GB2312" w:eastAsia="仿宋_GB2312" w:cs="仿宋_GB2312"/>
          <w:sz w:val="32"/>
          <w:szCs w:val="32"/>
          <w:lang w:val="en-US"/>
        </w:rPr>
        <w:t>3</w:t>
      </w:r>
      <w:r>
        <w:rPr>
          <w:rStyle w:val="32"/>
          <w:rFonts w:hint="eastAsia" w:ascii="仿宋_GB2312" w:hAnsi="仿宋_GB2312" w:eastAsia="仿宋_GB2312" w:cs="仿宋_GB2312"/>
          <w:sz w:val="32"/>
          <w:szCs w:val="32"/>
        </w:rPr>
        <w:t>%</w:t>
      </w:r>
      <w:r>
        <w:rPr>
          <w:rStyle w:val="32"/>
          <w:rFonts w:hint="eastAsia" w:ascii="仿宋_GB2312" w:hAnsi="仿宋_GB2312" w:eastAsia="仿宋_GB2312" w:cs="仿宋_GB2312"/>
          <w:sz w:val="32"/>
          <w:szCs w:val="32"/>
          <w:lang w:eastAsia="zh-CN"/>
        </w:rPr>
        <w:t>；</w:t>
      </w:r>
      <w:r>
        <w:rPr>
          <w:rStyle w:val="32"/>
          <w:rFonts w:hint="eastAsia" w:ascii="仿宋_GB2312" w:hAnsi="仿宋_GB2312" w:eastAsia="仿宋_GB2312" w:cs="仿宋_GB2312"/>
          <w:sz w:val="32"/>
          <w:szCs w:val="32"/>
        </w:rPr>
        <w:t>引进“三类500强”企业新投资项目</w:t>
      </w:r>
      <w:r>
        <w:rPr>
          <w:rStyle w:val="32"/>
          <w:rFonts w:hint="eastAsia" w:ascii="仿宋_GB2312" w:hAnsi="仿宋_GB2312" w:eastAsia="仿宋_GB2312" w:cs="仿宋_GB2312"/>
          <w:sz w:val="32"/>
          <w:szCs w:val="32"/>
          <w:lang w:val="en-US"/>
        </w:rPr>
        <w:t>14</w:t>
      </w:r>
      <w:r>
        <w:rPr>
          <w:rStyle w:val="32"/>
          <w:rFonts w:hint="eastAsia" w:ascii="仿宋_GB2312" w:hAnsi="仿宋_GB2312" w:eastAsia="仿宋_GB2312" w:cs="仿宋_GB2312"/>
          <w:sz w:val="32"/>
          <w:szCs w:val="32"/>
        </w:rPr>
        <w:t>个，完成年度任务的2</w:t>
      </w:r>
      <w:r>
        <w:rPr>
          <w:rStyle w:val="32"/>
          <w:rFonts w:hint="eastAsia" w:ascii="仿宋_GB2312" w:hAnsi="仿宋_GB2312" w:eastAsia="仿宋_GB2312" w:cs="仿宋_GB2312"/>
          <w:sz w:val="32"/>
          <w:szCs w:val="32"/>
          <w:lang w:val="en-US"/>
        </w:rPr>
        <w:t>8</w:t>
      </w:r>
      <w:r>
        <w:rPr>
          <w:rStyle w:val="32"/>
          <w:rFonts w:hint="eastAsia" w:ascii="仿宋_GB2312" w:hAnsi="仿宋_GB2312" w:eastAsia="仿宋_GB2312" w:cs="仿宋_GB2312"/>
          <w:sz w:val="32"/>
          <w:szCs w:val="32"/>
        </w:rPr>
        <w:t>0%，</w:t>
      </w:r>
      <w:r>
        <w:rPr>
          <w:rStyle w:val="32"/>
          <w:rFonts w:hint="eastAsia" w:ascii="仿宋_GB2312" w:hAnsi="仿宋_GB2312" w:eastAsia="仿宋_GB2312" w:cs="仿宋_GB2312"/>
          <w:sz w:val="32"/>
          <w:szCs w:val="32"/>
          <w:lang w:val="en-US"/>
        </w:rPr>
        <w:t>其中</w:t>
      </w:r>
      <w:r>
        <w:rPr>
          <w:rStyle w:val="32"/>
          <w:rFonts w:hint="eastAsia" w:ascii="仿宋_GB2312" w:hAnsi="仿宋_GB2312" w:eastAsia="仿宋_GB2312" w:cs="仿宋_GB2312"/>
          <w:sz w:val="32"/>
          <w:szCs w:val="32"/>
        </w:rPr>
        <w:t>引进“</w:t>
      </w:r>
      <w:r>
        <w:rPr>
          <w:rStyle w:val="32"/>
          <w:rFonts w:hint="eastAsia" w:ascii="仿宋_GB2312" w:hAnsi="仿宋_GB2312" w:eastAsia="仿宋_GB2312" w:cs="仿宋_GB2312"/>
          <w:sz w:val="32"/>
          <w:szCs w:val="32"/>
          <w:lang w:val="en-US"/>
        </w:rPr>
        <w:t>2021胡润世界500强</w:t>
      </w:r>
      <w:r>
        <w:rPr>
          <w:rStyle w:val="32"/>
          <w:rFonts w:hint="eastAsia" w:ascii="仿宋_GB2312" w:hAnsi="仿宋_GB2312" w:eastAsia="仿宋_GB2312" w:cs="仿宋_GB2312"/>
          <w:sz w:val="32"/>
          <w:szCs w:val="32"/>
        </w:rPr>
        <w:t>”快手公司首次落户湖南。</w:t>
      </w:r>
    </w:p>
    <w:p>
      <w:pPr>
        <w:keepNext w:val="0"/>
        <w:keepLines w:val="0"/>
        <w:pageBreakBefore w:val="0"/>
        <w:widowControl w:val="0"/>
        <w:kinsoku/>
        <w:wordWrap/>
        <w:overflowPunct/>
        <w:topLinePunct w:val="0"/>
        <w:autoSpaceDE/>
        <w:autoSpaceDN/>
        <w:bidi w:val="0"/>
        <w:spacing w:line="540" w:lineRule="exact"/>
        <w:ind w:firstLine="642" w:firstLineChars="200"/>
        <w:textAlignment w:val="auto"/>
        <w:rPr>
          <w:rStyle w:val="32"/>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（二）</w:t>
      </w:r>
      <w:r>
        <w:rPr>
          <w:rFonts w:hint="eastAsia" w:ascii="仿宋_GB2312" w:hAnsi="仿宋_GB2312" w:eastAsia="仿宋_GB2312" w:cs="仿宋_GB2312"/>
          <w:b/>
          <w:bCs/>
          <w:sz w:val="32"/>
          <w:szCs w:val="32"/>
          <w:shd w:val="clear" w:color="auto" w:fill="FFFFFF"/>
        </w:rPr>
        <w:t>消费</w:t>
      </w:r>
      <w:r>
        <w:rPr>
          <w:rFonts w:hint="eastAsia" w:ascii="仿宋_GB2312" w:hAnsi="仿宋_GB2312" w:eastAsia="仿宋_GB2312" w:cs="仿宋_GB2312"/>
          <w:b/>
          <w:bCs/>
          <w:sz w:val="32"/>
          <w:szCs w:val="32"/>
        </w:rPr>
        <w:t>市场回暖加速。</w:t>
      </w:r>
      <w:r>
        <w:rPr>
          <w:rFonts w:hint="eastAsia" w:ascii="仿宋_GB2312" w:hAnsi="仿宋_GB2312" w:eastAsia="仿宋_GB2312" w:cs="仿宋_GB2312"/>
          <w:sz w:val="32"/>
          <w:szCs w:val="32"/>
          <w:shd w:val="clear" w:color="auto" w:fill="FFFFFF"/>
        </w:rPr>
        <w:t>聚焦“政策红利”“制度红利”释放主动作为，</w:t>
      </w:r>
      <w:r>
        <w:rPr>
          <w:rFonts w:hint="eastAsia" w:ascii="仿宋_GB2312" w:hAnsi="仿宋_GB2312" w:eastAsia="仿宋_GB2312" w:cs="仿宋_GB2312"/>
          <w:sz w:val="32"/>
          <w:szCs w:val="32"/>
        </w:rPr>
        <w:t>激活消费市场，消费回暖加速，</w:t>
      </w:r>
      <w:r>
        <w:rPr>
          <w:rStyle w:val="32"/>
          <w:rFonts w:hint="eastAsia" w:ascii="仿宋_GB2312" w:hAnsi="仿宋_GB2312" w:eastAsia="仿宋_GB2312" w:cs="仿宋_GB2312"/>
          <w:sz w:val="32"/>
          <w:szCs w:val="32"/>
        </w:rPr>
        <w:t>消费质量加快提升、规模不断扩大。</w:t>
      </w:r>
      <w:r>
        <w:rPr>
          <w:rStyle w:val="32"/>
          <w:rFonts w:hint="eastAsia" w:ascii="仿宋_GB2312" w:hAnsi="仿宋_GB2312" w:eastAsia="仿宋_GB2312" w:cs="仿宋_GB2312"/>
          <w:color w:val="auto"/>
          <w:sz w:val="32"/>
          <w:szCs w:val="32"/>
        </w:rPr>
        <w:t>制定《“乐享消费·幸福湘西”2022湘西州促消费系列活动方案》《2022年湘西州商务系统真抓实干全面促进消费工作实施方案》，举办贯穿全年、覆盖城乡的12大促消费活动，按照“季季有主题、月月有活动、期</w:t>
      </w:r>
      <w:r>
        <w:rPr>
          <w:rFonts w:hint="eastAsia" w:ascii="仿宋_GB2312" w:hAnsi="仿宋_GB2312" w:eastAsia="仿宋_GB2312" w:cs="仿宋_GB2312"/>
          <w:color w:val="auto"/>
          <w:sz w:val="32"/>
          <w:szCs w:val="32"/>
        </w:rPr>
        <w:t>期有亮点”的思路，消费回暖加快</w:t>
      </w:r>
      <w:r>
        <w:rPr>
          <w:rFonts w:hint="eastAsia" w:ascii="仿宋_GB2312" w:hAnsi="仿宋_GB2312" w:eastAsia="仿宋_GB2312" w:cs="仿宋_GB2312"/>
          <w:color w:val="auto"/>
          <w:sz w:val="32"/>
          <w:szCs w:val="32"/>
          <w:lang w:eastAsia="zh-CN"/>
        </w:rPr>
        <w:t>。</w:t>
      </w:r>
      <w:r>
        <w:rPr>
          <w:rStyle w:val="32"/>
          <w:rFonts w:hint="eastAsia" w:ascii="仿宋_GB2312" w:hAnsi="仿宋_GB2312" w:eastAsia="仿宋_GB2312" w:cs="仿宋_GB2312"/>
          <w:sz w:val="32"/>
          <w:szCs w:val="32"/>
        </w:rPr>
        <w:t>全年，全州</w:t>
      </w:r>
      <w:r>
        <w:rPr>
          <w:rStyle w:val="32"/>
          <w:rFonts w:hint="eastAsia" w:ascii="仿宋_GB2312" w:hAnsi="仿宋_GB2312" w:eastAsia="仿宋_GB2312" w:cs="仿宋_GB2312"/>
          <w:color w:val="auto"/>
          <w:sz w:val="32"/>
          <w:szCs w:val="32"/>
        </w:rPr>
        <w:t>社会消费品零售总额284亿元，增长2.1%</w:t>
      </w:r>
      <w:r>
        <w:rPr>
          <w:rStyle w:val="32"/>
          <w:rFonts w:hint="eastAsia" w:ascii="仿宋_GB2312" w:hAnsi="仿宋_GB2312" w:eastAsia="仿宋_GB2312" w:cs="仿宋_GB2312"/>
          <w:sz w:val="32"/>
          <w:szCs w:val="32"/>
        </w:rPr>
        <w:t>。</w:t>
      </w:r>
      <w:r>
        <w:rPr>
          <w:rFonts w:hint="eastAsia" w:ascii="仿宋_GB2312" w:hAnsi="仿宋_GB2312" w:eastAsia="仿宋_GB2312" w:cs="仿宋_GB2312"/>
          <w:spacing w:val="-2"/>
          <w:sz w:val="32"/>
          <w:szCs w:val="32"/>
        </w:rPr>
        <w:t>今年以来，</w:t>
      </w:r>
      <w:r>
        <w:rPr>
          <w:rFonts w:hint="eastAsia" w:ascii="仿宋_GB2312" w:hAnsi="仿宋_GB2312" w:eastAsia="仿宋_GB2312" w:cs="仿宋_GB2312"/>
          <w:kern w:val="0"/>
          <w:sz w:val="32"/>
          <w:szCs w:val="32"/>
        </w:rPr>
        <w:t>举办了大车展暨老字号农特产品展销会、“6·18”消费购物节、雪花啤酒·湘西首届摇滚音乐节等系列促消费活动，全力拉动住房、汽车、家电等大宗商品消费。9月16日，举办“乐享消费·幸福湘西”2022湘西州促消费秋季活动，同步开展第三届民族餐饮大赛暨政府消费券发放活动，</w:t>
      </w:r>
      <w:r>
        <w:rPr>
          <w:rStyle w:val="32"/>
          <w:rFonts w:hint="eastAsia" w:ascii="仿宋_GB2312" w:hAnsi="仿宋_GB2312" w:eastAsia="仿宋_GB2312" w:cs="仿宋_GB2312"/>
          <w:sz w:val="32"/>
          <w:szCs w:val="32"/>
        </w:rPr>
        <w:t>发放政府消费券710万元，为全省促消费资金安排最多的市州，充分发挥“小资金撬动大消费”作用。截至目前，累计核销消费券430.7万元，直接带动消费1776万元，商家销售额环比提高20%左右，参与商家销售总额预计超5亿元，预计全年湘西州扩大消费8亿元左右，远超过预期</w:t>
      </w:r>
      <w:r>
        <w:rPr>
          <w:rStyle w:val="32"/>
          <w:rFonts w:hint="eastAsia" w:ascii="仿宋_GB2312" w:hAnsi="仿宋_GB2312" w:eastAsia="仿宋_GB2312" w:cs="仿宋_GB2312"/>
          <w:sz w:val="32"/>
          <w:szCs w:val="32"/>
          <w:lang w:eastAsia="zh-CN"/>
        </w:rPr>
        <w:t>，</w:t>
      </w:r>
      <w:r>
        <w:rPr>
          <w:rStyle w:val="32"/>
          <w:rFonts w:hint="eastAsia" w:ascii="仿宋_GB2312" w:hAnsi="仿宋_GB2312" w:eastAsia="仿宋_GB2312" w:cs="仿宋_GB2312"/>
          <w:sz w:val="32"/>
          <w:szCs w:val="32"/>
        </w:rPr>
        <w:t>杠杆撬动作用明显。</w:t>
      </w:r>
    </w:p>
    <w:p>
      <w:pPr>
        <w:keepNext w:val="0"/>
        <w:keepLines w:val="0"/>
        <w:pageBreakBefore w:val="0"/>
        <w:widowControl w:val="0"/>
        <w:kinsoku/>
        <w:wordWrap/>
        <w:overflowPunct/>
        <w:topLinePunct w:val="0"/>
        <w:autoSpaceDE/>
        <w:autoSpaceDN/>
        <w:bidi w:val="0"/>
        <w:adjustRightInd w:val="0"/>
        <w:snapToGrid w:val="0"/>
        <w:spacing w:line="540" w:lineRule="exact"/>
        <w:ind w:firstLine="642"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shd w:val="clear" w:color="auto" w:fill="FFFFFF"/>
        </w:rPr>
        <w:t>（三）</w:t>
      </w:r>
      <w:r>
        <w:rPr>
          <w:rFonts w:hint="eastAsia" w:ascii="仿宋_GB2312" w:hAnsi="仿宋_GB2312" w:eastAsia="仿宋_GB2312" w:cs="仿宋_GB2312"/>
          <w:b/>
          <w:sz w:val="32"/>
          <w:szCs w:val="32"/>
        </w:rPr>
        <w:t>外贸</w:t>
      </w:r>
      <w:r>
        <w:rPr>
          <w:rFonts w:hint="eastAsia" w:ascii="仿宋_GB2312" w:hAnsi="仿宋_GB2312" w:eastAsia="仿宋_GB2312" w:cs="仿宋_GB2312"/>
          <w:b/>
          <w:sz w:val="32"/>
          <w:szCs w:val="32"/>
          <w:lang w:val="en-US" w:eastAsia="zh-CN"/>
        </w:rPr>
        <w:t>发展克难前行</w:t>
      </w:r>
      <w:r>
        <w:rPr>
          <w:rFonts w:hint="eastAsia" w:ascii="仿宋_GB2312" w:hAnsi="仿宋_GB2312" w:eastAsia="仿宋_GB2312" w:cs="仿宋_GB2312"/>
          <w:b/>
          <w:sz w:val="32"/>
          <w:szCs w:val="32"/>
        </w:rPr>
        <w:t>。</w:t>
      </w:r>
      <w:r>
        <w:rPr>
          <w:rFonts w:hint="eastAsia" w:ascii="仿宋_GB2312" w:hAnsi="仿宋_GB2312" w:eastAsia="仿宋_GB2312" w:cs="仿宋_GB2312"/>
          <w:sz w:val="32"/>
          <w:szCs w:val="32"/>
          <w:lang w:val="en-US" w:eastAsia="zh-CN"/>
        </w:rPr>
        <w:t>全力克服疫情散发等多重困难形势，</w:t>
      </w:r>
      <w:r>
        <w:rPr>
          <w:rFonts w:hint="eastAsia" w:ascii="仿宋_GB2312" w:hAnsi="仿宋_GB2312" w:eastAsia="仿宋_GB2312" w:cs="仿宋_GB2312"/>
          <w:sz w:val="32"/>
          <w:szCs w:val="32"/>
        </w:rPr>
        <w:t>扎实推进稳外贸“四个一”活动，累计兑现外贸奖补资金589万元；深入开展“百干联百企”“破零倍增”行动，</w:t>
      </w:r>
      <w:r>
        <w:rPr>
          <w:rFonts w:hint="eastAsia" w:ascii="仿宋_GB2312" w:hAnsi="仿宋_GB2312" w:eastAsia="仿宋_GB2312" w:cs="仿宋_GB2312"/>
          <w:sz w:val="32"/>
          <w:szCs w:val="32"/>
          <w:lang w:eastAsia="zh-CN"/>
        </w:rPr>
        <w:t>全年全州</w:t>
      </w:r>
      <w:r>
        <w:rPr>
          <w:rStyle w:val="32"/>
          <w:rFonts w:hint="eastAsia" w:ascii="仿宋_GB2312" w:hAnsi="仿宋_GB2312" w:eastAsia="仿宋_GB2312" w:cs="仿宋_GB2312"/>
          <w:color w:val="auto"/>
          <w:sz w:val="32"/>
          <w:szCs w:val="32"/>
        </w:rPr>
        <w:t>外贸进出口实现21.63亿元，增长28.4%，增幅排全省第</w:t>
      </w:r>
      <w:r>
        <w:rPr>
          <w:rStyle w:val="32"/>
          <w:rFonts w:hint="eastAsia" w:ascii="仿宋_GB2312" w:hAnsi="仿宋_GB2312" w:eastAsia="仿宋_GB2312" w:cs="仿宋_GB2312"/>
          <w:color w:val="auto"/>
          <w:sz w:val="32"/>
          <w:szCs w:val="32"/>
          <w:lang w:val="en-US"/>
        </w:rPr>
        <w:t>7位</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w:t>
      </w:r>
      <w:r>
        <w:rPr>
          <w:rStyle w:val="32"/>
          <w:rFonts w:hint="eastAsia" w:ascii="仿宋_GB2312" w:hAnsi="仿宋_GB2312" w:eastAsia="仿宋_GB2312" w:cs="仿宋_GB2312"/>
          <w:sz w:val="32"/>
          <w:szCs w:val="32"/>
        </w:rPr>
        <w:t>始终把外贸进出口作为发展开放型经济的重要引擎来抓，</w:t>
      </w:r>
      <w:r>
        <w:rPr>
          <w:rStyle w:val="32"/>
          <w:rFonts w:hint="eastAsia" w:ascii="仿宋_GB2312" w:hAnsi="仿宋_GB2312" w:eastAsia="仿宋_GB2312" w:cs="仿宋_GB2312"/>
          <w:color w:val="auto"/>
          <w:sz w:val="32"/>
          <w:szCs w:val="32"/>
        </w:rPr>
        <w:t>扎实推进稳外贸“四个一”和“破零倍增”行动，全州29家企业实现“破零倍增”。</w:t>
      </w:r>
      <w:r>
        <w:rPr>
          <w:rFonts w:hint="eastAsia" w:ascii="仿宋_GB2312" w:hAnsi="仿宋_GB2312" w:eastAsia="仿宋_GB2312" w:cs="仿宋_GB2312"/>
          <w:color w:val="auto"/>
          <w:sz w:val="32"/>
          <w:szCs w:val="32"/>
        </w:rPr>
        <w:t>首次通过中欧班列发货，“一带一路”沿线国家进出口增长134.1%。</w:t>
      </w:r>
      <w:r>
        <w:rPr>
          <w:rStyle w:val="32"/>
          <w:rFonts w:hint="eastAsia" w:ascii="仿宋_GB2312" w:hAnsi="仿宋_GB2312" w:eastAsia="仿宋_GB2312" w:cs="仿宋_GB2312"/>
          <w:color w:val="auto"/>
          <w:sz w:val="32"/>
          <w:szCs w:val="32"/>
        </w:rPr>
        <w:t>加工贸易完成492万元，实现了“零突破”。</w:t>
      </w:r>
      <w:r>
        <w:rPr>
          <w:rFonts w:hint="eastAsia" w:ascii="仿宋_GB2312" w:hAnsi="仿宋_GB2312" w:eastAsia="仿宋_GB2312" w:cs="仿宋_GB2312"/>
          <w:color w:val="auto"/>
          <w:sz w:val="32"/>
          <w:szCs w:val="32"/>
        </w:rPr>
        <w:t>积极申报湘西高新区为中国(湖南)自由贸易试验区协同联动区，加快推进以园区为主体的外贸产业基地集群发展。</w:t>
      </w:r>
    </w:p>
    <w:p>
      <w:pPr>
        <w:keepNext w:val="0"/>
        <w:keepLines w:val="0"/>
        <w:pageBreakBefore w:val="0"/>
        <w:widowControl w:val="0"/>
        <w:kinsoku/>
        <w:wordWrap/>
        <w:overflowPunct/>
        <w:topLinePunct w:val="0"/>
        <w:autoSpaceDE/>
        <w:autoSpaceDN/>
        <w:bidi w:val="0"/>
        <w:spacing w:line="540" w:lineRule="exact"/>
        <w:ind w:firstLine="642" w:firstLineChars="200"/>
        <w:jc w:val="left"/>
        <w:textAlignment w:val="auto"/>
        <w:rPr>
          <w:rFonts w:hint="eastAsia" w:ascii="仿宋_GB2312" w:hAnsi="仿宋_GB2312" w:eastAsia="仿宋_GB2312" w:cs="仿宋_GB2312"/>
          <w:i w:val="0"/>
          <w:iCs w:val="0"/>
          <w:caps w:val="0"/>
          <w:color w:val="131516"/>
          <w:spacing w:val="0"/>
          <w:kern w:val="2"/>
          <w:sz w:val="32"/>
          <w:szCs w:val="32"/>
          <w:lang w:val="en-US" w:eastAsia="zh-CN" w:bidi="ar-SA"/>
        </w:rPr>
      </w:pPr>
      <w:r>
        <w:rPr>
          <w:rFonts w:hint="eastAsia" w:ascii="仿宋_GB2312" w:hAnsi="仿宋_GB2312" w:eastAsia="仿宋_GB2312" w:cs="仿宋_GB2312"/>
          <w:b/>
          <w:bCs/>
          <w:sz w:val="32"/>
          <w:szCs w:val="32"/>
          <w:shd w:val="clear" w:color="auto" w:fill="FFFFFF"/>
          <w:lang w:eastAsia="zh-CN"/>
        </w:rPr>
        <w:t>（</w:t>
      </w:r>
      <w:r>
        <w:rPr>
          <w:rFonts w:hint="eastAsia" w:ascii="仿宋_GB2312" w:hAnsi="仿宋_GB2312" w:eastAsia="仿宋_GB2312" w:cs="仿宋_GB2312"/>
          <w:b/>
          <w:bCs/>
          <w:sz w:val="32"/>
          <w:szCs w:val="32"/>
          <w:shd w:val="clear" w:color="auto" w:fill="FFFFFF"/>
          <w:lang w:val="en-US" w:eastAsia="zh-CN"/>
        </w:rPr>
        <w:t>四</w:t>
      </w:r>
      <w:r>
        <w:rPr>
          <w:rFonts w:hint="eastAsia" w:ascii="仿宋_GB2312" w:hAnsi="仿宋_GB2312" w:eastAsia="仿宋_GB2312" w:cs="仿宋_GB2312"/>
          <w:b/>
          <w:bCs/>
          <w:sz w:val="32"/>
          <w:szCs w:val="32"/>
          <w:shd w:val="clear" w:color="auto" w:fill="FFFFFF"/>
          <w:lang w:eastAsia="zh-CN"/>
        </w:rPr>
        <w:t>）</w:t>
      </w:r>
      <w:r>
        <w:rPr>
          <w:rFonts w:hint="eastAsia" w:ascii="仿宋_GB2312" w:hAnsi="仿宋_GB2312" w:eastAsia="仿宋_GB2312" w:cs="仿宋_GB2312"/>
          <w:b/>
          <w:bCs/>
          <w:sz w:val="32"/>
          <w:szCs w:val="32"/>
          <w:shd w:val="clear" w:color="auto" w:fill="FFFFFF"/>
          <w:lang w:val="en-US" w:eastAsia="zh-CN"/>
        </w:rPr>
        <w:t>助企纾困精准高效</w:t>
      </w:r>
      <w:r>
        <w:rPr>
          <w:rFonts w:hint="eastAsia" w:ascii="仿宋_GB2312" w:hAnsi="仿宋_GB2312" w:eastAsia="仿宋_GB2312" w:cs="仿宋_GB2312"/>
          <w:b/>
          <w:bCs/>
          <w:sz w:val="32"/>
          <w:szCs w:val="32"/>
          <w:shd w:val="clear" w:color="auto" w:fill="FFFFFF"/>
        </w:rPr>
        <w:t>。</w:t>
      </w:r>
      <w:r>
        <w:rPr>
          <w:rFonts w:hint="eastAsia" w:ascii="仿宋_GB2312" w:hAnsi="仿宋_GB2312" w:eastAsia="仿宋_GB2312" w:cs="仿宋_GB2312"/>
          <w:sz w:val="32"/>
          <w:szCs w:val="32"/>
          <w:shd w:val="clear" w:color="auto" w:fill="FFFFFF"/>
        </w:rPr>
        <w:t>制定《湘西州商务局优化营商环境工作方案》，列出10大任务清单，压茬式、一体化推进，共计精简缩减办事材料14份，压缩承诺办理时间67天，极大提高了服务群众、企业办事效率。</w:t>
      </w:r>
      <w:r>
        <w:rPr>
          <w:rFonts w:hint="eastAsia" w:ascii="仿宋_GB2312" w:hAnsi="仿宋_GB2312" w:eastAsia="仿宋_GB2312" w:cs="仿宋_GB2312"/>
          <w:color w:val="000000"/>
          <w:kern w:val="2"/>
          <w:sz w:val="32"/>
          <w:szCs w:val="32"/>
          <w:lang w:val="en-US" w:eastAsia="zh-CN" w:bidi="ar-SA"/>
        </w:rPr>
        <w:t>针对疫情下企业发展困境，配合梳理近3年来湘西州委州政府出台的惠企优惠政策，形成</w:t>
      </w:r>
      <w:r>
        <w:rPr>
          <w:rFonts w:hint="eastAsia" w:ascii="仿宋_GB2312" w:hAnsi="仿宋_GB2312" w:eastAsia="仿宋_GB2312" w:cs="仿宋_GB2312"/>
          <w:sz w:val="32"/>
          <w:szCs w:val="32"/>
        </w:rPr>
        <w:t>《湘西自治州招商引资优惠政策汇编》</w:t>
      </w:r>
      <w:r>
        <w:rPr>
          <w:rFonts w:hint="eastAsia" w:ascii="仿宋_GB2312" w:hAnsi="仿宋_GB2312" w:eastAsia="仿宋_GB2312" w:cs="仿宋_GB2312"/>
          <w:color w:val="000000"/>
          <w:kern w:val="2"/>
          <w:sz w:val="32"/>
          <w:szCs w:val="32"/>
          <w:lang w:val="en-US" w:eastAsia="zh-CN" w:bidi="ar-SA"/>
        </w:rPr>
        <w:t>，成为全州干部联企“送政策、解难题、优服务”行动的必备“口袋书”。</w:t>
      </w:r>
      <w:r>
        <w:rPr>
          <w:rStyle w:val="32"/>
          <w:rFonts w:hint="eastAsia" w:ascii="仿宋_GB2312" w:hAnsi="仿宋_GB2312" w:eastAsia="仿宋_GB2312" w:cs="仿宋_GB2312"/>
          <w:sz w:val="32"/>
          <w:szCs w:val="32"/>
        </w:rPr>
        <w:t>率先在全省商务系统</w:t>
      </w:r>
      <w:r>
        <w:rPr>
          <w:rFonts w:hint="eastAsia" w:ascii="仿宋_GB2312" w:hAnsi="仿宋_GB2312" w:eastAsia="仿宋_GB2312" w:cs="仿宋_GB2312"/>
          <w:kern w:val="2"/>
          <w:sz w:val="32"/>
          <w:szCs w:val="32"/>
        </w:rPr>
        <w:t>印发《全州商务系统“百名干部联百企”排忧解难促发展行动工作方案》，100名商务干部联系133家企业，积极为全州外贸进出口、商贸流通入规限上和成长性企业等提供“一对一”保姆式服务，走访</w:t>
      </w:r>
      <w:r>
        <w:rPr>
          <w:rFonts w:hint="eastAsia" w:ascii="仿宋_GB2312" w:hAnsi="仿宋_GB2312" w:eastAsia="仿宋_GB2312" w:cs="仿宋_GB2312"/>
          <w:kern w:val="2"/>
          <w:sz w:val="32"/>
          <w:szCs w:val="32"/>
          <w:lang w:val="en-US" w:eastAsia="zh-CN"/>
        </w:rPr>
        <w:t>服务</w:t>
      </w:r>
      <w:r>
        <w:rPr>
          <w:rFonts w:hint="eastAsia" w:ascii="仿宋_GB2312" w:hAnsi="仿宋_GB2312" w:eastAsia="仿宋_GB2312" w:cs="仿宋_GB2312"/>
          <w:kern w:val="2"/>
          <w:sz w:val="32"/>
          <w:szCs w:val="32"/>
        </w:rPr>
        <w:t>企业</w:t>
      </w:r>
      <w:r>
        <w:rPr>
          <w:rFonts w:hint="eastAsia" w:ascii="仿宋_GB2312" w:hAnsi="仿宋_GB2312" w:eastAsia="仿宋_GB2312" w:cs="仿宋_GB2312"/>
          <w:kern w:val="2"/>
          <w:sz w:val="32"/>
          <w:szCs w:val="32"/>
          <w:lang w:val="en-US" w:eastAsia="zh-CN"/>
        </w:rPr>
        <w:t>5</w:t>
      </w:r>
      <w:r>
        <w:rPr>
          <w:rFonts w:hint="eastAsia" w:ascii="仿宋_GB2312" w:hAnsi="仿宋_GB2312" w:eastAsia="仿宋_GB2312" w:cs="仿宋_GB2312"/>
          <w:kern w:val="2"/>
          <w:sz w:val="32"/>
          <w:szCs w:val="32"/>
        </w:rPr>
        <w:t>00多家</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rPr>
        <w:t>次</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rPr>
        <w:t>，为丰达合金、洁宝日化等企业协调解决原材料道路运输、出口信用保险等实际问题困难</w:t>
      </w:r>
      <w:r>
        <w:rPr>
          <w:rFonts w:hint="eastAsia" w:ascii="仿宋_GB2312" w:hAnsi="仿宋_GB2312" w:eastAsia="仿宋_GB2312" w:cs="仿宋_GB2312"/>
          <w:kern w:val="2"/>
          <w:sz w:val="32"/>
          <w:szCs w:val="32"/>
          <w:lang w:val="en-US" w:eastAsia="zh-CN"/>
        </w:rPr>
        <w:t>139</w:t>
      </w:r>
      <w:r>
        <w:rPr>
          <w:rFonts w:hint="eastAsia" w:ascii="仿宋_GB2312" w:hAnsi="仿宋_GB2312" w:eastAsia="仿宋_GB2312" w:cs="仿宋_GB2312"/>
          <w:kern w:val="2"/>
          <w:sz w:val="32"/>
          <w:szCs w:val="32"/>
        </w:rPr>
        <w:t>个，</w:t>
      </w:r>
      <w:r>
        <w:rPr>
          <w:rFonts w:hint="eastAsia" w:ascii="仿宋_GB2312" w:hAnsi="仿宋_GB2312" w:eastAsia="仿宋_GB2312" w:cs="仿宋_GB2312"/>
          <w:sz w:val="32"/>
          <w:szCs w:val="32"/>
          <w:lang w:eastAsia="zh-CN"/>
        </w:rPr>
        <w:t>兑现安排支持企业发展奖补资金</w:t>
      </w:r>
      <w:r>
        <w:rPr>
          <w:rFonts w:hint="eastAsia" w:ascii="仿宋_GB2312" w:hAnsi="仿宋_GB2312" w:eastAsia="仿宋_GB2312" w:cs="仿宋_GB2312"/>
          <w:sz w:val="32"/>
          <w:szCs w:val="32"/>
          <w:lang w:val="en-US" w:eastAsia="zh-CN"/>
        </w:rPr>
        <w:t>1160万元，积极有效</w:t>
      </w:r>
      <w:r>
        <w:rPr>
          <w:rFonts w:hint="eastAsia" w:ascii="仿宋_GB2312" w:hAnsi="仿宋_GB2312" w:eastAsia="仿宋_GB2312" w:cs="仿宋_GB2312"/>
          <w:i w:val="0"/>
          <w:iCs w:val="0"/>
          <w:caps w:val="0"/>
          <w:color w:val="131516"/>
          <w:spacing w:val="0"/>
          <w:kern w:val="2"/>
          <w:sz w:val="32"/>
          <w:szCs w:val="32"/>
          <w:lang w:val="en-US" w:eastAsia="zh-CN" w:bidi="ar-SA"/>
        </w:rPr>
        <w:t>助企纾困解难题。</w:t>
      </w:r>
    </w:p>
    <w:p>
      <w:pPr>
        <w:pStyle w:val="5"/>
        <w:keepNext w:val="0"/>
        <w:keepLines w:val="0"/>
        <w:pageBreakBefore w:val="0"/>
        <w:widowControl w:val="0"/>
        <w:kinsoku/>
        <w:wordWrap/>
        <w:overflowPunct/>
        <w:topLinePunct w:val="0"/>
        <w:autoSpaceDE/>
        <w:autoSpaceDN/>
        <w:bidi w:val="0"/>
        <w:spacing w:after="0" w:line="540" w:lineRule="exact"/>
        <w:ind w:firstLine="642" w:firstLineChars="20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bCs/>
          <w:sz w:val="32"/>
          <w:szCs w:val="32"/>
          <w:shd w:val="clear" w:color="auto" w:fill="FFFFFF"/>
          <w:lang w:eastAsia="zh-CN"/>
        </w:rPr>
        <w:t>（</w:t>
      </w:r>
      <w:r>
        <w:rPr>
          <w:rFonts w:hint="eastAsia" w:ascii="仿宋_GB2312" w:hAnsi="仿宋_GB2312" w:eastAsia="仿宋_GB2312" w:cs="仿宋_GB2312"/>
          <w:b/>
          <w:bCs/>
          <w:sz w:val="32"/>
          <w:szCs w:val="32"/>
          <w:shd w:val="clear" w:color="auto" w:fill="FFFFFF"/>
          <w:lang w:val="en-US" w:eastAsia="zh-CN"/>
        </w:rPr>
        <w:t>五</w:t>
      </w:r>
      <w:r>
        <w:rPr>
          <w:rFonts w:hint="eastAsia" w:ascii="仿宋_GB2312" w:hAnsi="仿宋_GB2312" w:eastAsia="仿宋_GB2312" w:cs="仿宋_GB2312"/>
          <w:b/>
          <w:bCs/>
          <w:sz w:val="32"/>
          <w:szCs w:val="32"/>
          <w:shd w:val="clear" w:color="auto" w:fill="FFFFFF"/>
          <w:lang w:eastAsia="zh-CN"/>
        </w:rPr>
        <w:t>）</w:t>
      </w:r>
      <w:r>
        <w:rPr>
          <w:rFonts w:hint="eastAsia" w:ascii="仿宋_GB2312" w:hAnsi="仿宋_GB2312" w:eastAsia="仿宋_GB2312" w:cs="仿宋_GB2312"/>
          <w:b/>
          <w:bCs/>
          <w:sz w:val="32"/>
          <w:szCs w:val="32"/>
          <w:shd w:val="clear" w:color="auto" w:fill="FFFFFF"/>
          <w:lang w:val="en-US" w:eastAsia="zh-CN"/>
        </w:rPr>
        <w:t>安全生产稳定向好。</w:t>
      </w:r>
      <w:r>
        <w:rPr>
          <w:rFonts w:hint="eastAsia" w:ascii="仿宋_GB2312" w:hAnsi="仿宋_GB2312" w:eastAsia="仿宋_GB2312" w:cs="仿宋_GB2312"/>
          <w:kern w:val="2"/>
          <w:sz w:val="32"/>
          <w:szCs w:val="32"/>
          <w:lang w:val="en-US" w:eastAsia="zh-CN" w:bidi="ar-SA"/>
        </w:rPr>
        <w:t>高效统筹疫情防控和发展安全工作，</w:t>
      </w:r>
      <w:r>
        <w:rPr>
          <w:rFonts w:hint="eastAsia" w:ascii="仿宋_GB2312" w:hAnsi="仿宋_GB2312" w:eastAsia="仿宋_GB2312" w:cs="仿宋_GB2312"/>
          <w:i w:val="0"/>
          <w:iCs w:val="0"/>
          <w:caps w:val="0"/>
          <w:color w:val="000000"/>
          <w:spacing w:val="0"/>
          <w:kern w:val="0"/>
          <w:sz w:val="32"/>
          <w:szCs w:val="32"/>
          <w:lang w:val="en-US" w:eastAsia="zh-CN" w:bidi="ar"/>
        </w:rPr>
        <w:t>印发《2022年全州商贸领域安全生产工作要点》等文件，建立“月调度、季通报、半年一排名、年终一考核”督导推进机制，出动250余人次按季对全州商贸领域安全生产、疫情防控、物资保供等工作进行随机抽查督导，交办整改各类安全隐患问题42个。出台《湘西州成品油市场“打非治违”百日行动工作方案》，在全省率先开展“六大专项整治行动”，列出商务</w:t>
      </w:r>
      <w:r>
        <w:rPr>
          <w:rFonts w:hint="eastAsia" w:ascii="仿宋_GB2312" w:hAnsi="仿宋_GB2312" w:eastAsia="仿宋_GB2312" w:cs="仿宋_GB2312"/>
          <w:i w:val="0"/>
          <w:iCs w:val="0"/>
          <w:caps w:val="0"/>
          <w:color w:val="000000" w:themeColor="text1"/>
          <w:spacing w:val="0"/>
          <w:kern w:val="0"/>
          <w:sz w:val="32"/>
          <w:szCs w:val="32"/>
          <w:lang w:val="en-US" w:eastAsia="zh-CN" w:bidi="ar"/>
          <w14:textFill>
            <w14:solidFill>
              <w14:schemeClr w14:val="tx1"/>
            </w14:solidFill>
          </w14:textFill>
        </w:rPr>
        <w:t>、公安、市场监管等相关职能部门成品油市场“打非治违”职责清单，全州出动执法检查人员1670余人次，查处问题单位67个，罚金、补缴税款375.4万元；查处1700余万元大额虚增发票行为1起、抓获犯罪嫌疑人3人。面对突如其来的疫情，及时启动物资</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保障供应预案，调度重点保供企业统筹做好生活必需品保供稳价工作，组织武陵缘批发市场、吉首佳惠等20家商贸流通企业为龙山县、凤凰县捐赠总价值约110万元、20余车的生活必需品物资，全力守好疫情防控民生关。</w:t>
      </w:r>
    </w:p>
    <w:p>
      <w:pPr>
        <w:pStyle w:val="5"/>
        <w:keepNext w:val="0"/>
        <w:keepLines w:val="0"/>
        <w:pageBreakBefore w:val="0"/>
        <w:widowControl w:val="0"/>
        <w:kinsoku/>
        <w:wordWrap/>
        <w:overflowPunct/>
        <w:topLinePunct w:val="0"/>
        <w:autoSpaceDE/>
        <w:autoSpaceDN/>
        <w:bidi w:val="0"/>
        <w:spacing w:after="0" w:line="540" w:lineRule="exact"/>
        <w:ind w:firstLine="642"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sz w:val="32"/>
          <w:szCs w:val="32"/>
          <w:shd w:val="clear" w:color="auto" w:fill="FFFFFF"/>
          <w:lang w:eastAsia="zh-CN"/>
        </w:rPr>
        <w:t>（</w:t>
      </w:r>
      <w:r>
        <w:rPr>
          <w:rFonts w:hint="eastAsia" w:ascii="仿宋_GB2312" w:hAnsi="仿宋_GB2312" w:eastAsia="仿宋_GB2312" w:cs="仿宋_GB2312"/>
          <w:b/>
          <w:bCs/>
          <w:sz w:val="32"/>
          <w:szCs w:val="32"/>
          <w:shd w:val="clear" w:color="auto" w:fill="FFFFFF"/>
          <w:lang w:val="en-US" w:eastAsia="zh-CN"/>
        </w:rPr>
        <w:t>六</w:t>
      </w:r>
      <w:r>
        <w:rPr>
          <w:rFonts w:hint="eastAsia" w:ascii="仿宋_GB2312" w:hAnsi="仿宋_GB2312" w:eastAsia="仿宋_GB2312" w:cs="仿宋_GB2312"/>
          <w:b/>
          <w:bCs/>
          <w:sz w:val="32"/>
          <w:szCs w:val="32"/>
          <w:shd w:val="clear" w:color="auto" w:fill="FFFFFF"/>
          <w:lang w:eastAsia="zh-CN"/>
        </w:rPr>
        <w:t>）</w:t>
      </w:r>
      <w:r>
        <w:rPr>
          <w:rFonts w:hint="eastAsia" w:ascii="仿宋_GB2312" w:hAnsi="仿宋_GB2312" w:eastAsia="仿宋_GB2312" w:cs="仿宋_GB2312"/>
          <w:b/>
          <w:bCs/>
          <w:sz w:val="32"/>
          <w:szCs w:val="32"/>
          <w:shd w:val="clear" w:color="auto" w:fill="FFFFFF"/>
          <w:lang w:val="en-US" w:eastAsia="zh-CN"/>
        </w:rPr>
        <w:t>党的建设成效凸显。</w:t>
      </w:r>
      <w:r>
        <w:rPr>
          <w:rFonts w:hint="eastAsia" w:ascii="仿宋_GB2312" w:hAnsi="仿宋_GB2312" w:eastAsia="仿宋_GB2312" w:cs="仿宋_GB2312"/>
          <w:kern w:val="2"/>
          <w:sz w:val="32"/>
          <w:szCs w:val="32"/>
          <w:lang w:val="en-US" w:eastAsia="zh-CN" w:bidi="ar-SA"/>
        </w:rPr>
        <w:t>深入贯彻落实党的二十大精神，全面推进具有商务特色的党建品牌、党建服务、党建亮点工作，引领推动商务各项工作开展。采取“原文读、专家讲、党课授、分组研、分享学、实践行”六个一模式，学懂弄通做实党的二十大精神。聚焦“当年有起色、五年大改观、十五年化风成俗”，列出政治建设等4个大方面13项具体工作任务，全力打造“清廉商务”品牌。统筹老干、工青妇等各项工作，高规格组织开展了“七一”表彰、“红心向党”汇演、“寿星乐·夕阳美”重阳节、篮球赛等系列活动，丰富干部职工生活，全面展现商务良好形象。</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40" w:lineRule="exact"/>
        <w:ind w:right="0" w:firstLine="642" w:firstLineChars="200"/>
        <w:textAlignment w:val="center"/>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七、综合评价情况及评价结论</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40" w:lineRule="exact"/>
        <w:ind w:left="0" w:right="0" w:firstLine="648"/>
        <w:textAlignment w:val="center"/>
        <w:rPr>
          <w:rFonts w:hint="eastAsia" w:ascii="仿宋_GB2312" w:hAnsi="仿宋_GB2312" w:eastAsia="仿宋_GB2312" w:cs="仿宋_GB2312"/>
          <w:i w:val="0"/>
          <w:iCs w:val="0"/>
          <w:caps w:val="0"/>
          <w:color w:val="333333"/>
          <w:spacing w:val="0"/>
          <w:sz w:val="32"/>
          <w:szCs w:val="32"/>
        </w:rPr>
      </w:pPr>
      <w:bookmarkStart w:id="1" w:name="_Toc11161442"/>
      <w:bookmarkEnd w:id="1"/>
      <w:bookmarkStart w:id="2" w:name="_Toc12397"/>
      <w:bookmarkEnd w:id="2"/>
      <w:bookmarkStart w:id="3" w:name="_Toc30748"/>
      <w:bookmarkEnd w:id="3"/>
      <w:bookmarkStart w:id="4" w:name="_Toc10474925"/>
      <w:bookmarkEnd w:id="4"/>
      <w:bookmarkStart w:id="5" w:name="_Toc16036"/>
      <w:bookmarkEnd w:id="5"/>
      <w:r>
        <w:rPr>
          <w:rFonts w:hint="eastAsia" w:ascii="仿宋_GB2312" w:hAnsi="仿宋_GB2312" w:eastAsia="仿宋_GB2312" w:cs="仿宋_GB2312"/>
          <w:i w:val="0"/>
          <w:iCs w:val="0"/>
          <w:caps w:val="0"/>
          <w:color w:val="000000"/>
          <w:spacing w:val="0"/>
          <w:sz w:val="32"/>
          <w:szCs w:val="32"/>
          <w:shd w:val="clear" w:fill="FFFFFF"/>
        </w:rPr>
        <w:t>根据部门整体支出绩效评价指标体系规定的内容，经对各项指标进行评分，本部门</w:t>
      </w:r>
      <w:r>
        <w:rPr>
          <w:rFonts w:hint="eastAsia" w:ascii="仿宋_GB2312" w:hAnsi="仿宋_GB2312" w:eastAsia="仿宋_GB2312" w:cs="仿宋_GB2312"/>
          <w:i w:val="0"/>
          <w:iCs w:val="0"/>
          <w:caps w:val="0"/>
          <w:color w:val="333333"/>
          <w:spacing w:val="0"/>
          <w:sz w:val="32"/>
          <w:szCs w:val="32"/>
          <w:shd w:val="clear" w:fill="FFFFFF"/>
          <w:lang w:eastAsia="zh-CN"/>
        </w:rPr>
        <w:t>202</w:t>
      </w:r>
      <w:r>
        <w:rPr>
          <w:rFonts w:hint="eastAsia" w:ascii="仿宋_GB2312" w:hAnsi="仿宋_GB2312" w:eastAsia="仿宋_GB2312" w:cs="仿宋_GB2312"/>
          <w:i w:val="0"/>
          <w:iCs w:val="0"/>
          <w:caps w:val="0"/>
          <w:color w:val="333333"/>
          <w:spacing w:val="0"/>
          <w:sz w:val="32"/>
          <w:szCs w:val="32"/>
          <w:shd w:val="clear" w:fill="FFFFFF"/>
          <w:lang w:val="en-US" w:eastAsia="zh-CN"/>
        </w:rPr>
        <w:t>2</w:t>
      </w:r>
      <w:r>
        <w:rPr>
          <w:rFonts w:hint="eastAsia" w:ascii="仿宋_GB2312" w:hAnsi="仿宋_GB2312" w:eastAsia="仿宋_GB2312" w:cs="仿宋_GB2312"/>
          <w:i w:val="0"/>
          <w:iCs w:val="0"/>
          <w:caps w:val="0"/>
          <w:color w:val="333333"/>
          <w:spacing w:val="0"/>
          <w:sz w:val="32"/>
          <w:szCs w:val="32"/>
          <w:shd w:val="clear" w:fill="FFFFFF"/>
          <w:lang w:eastAsia="zh-CN"/>
        </w:rPr>
        <w:t>年度</w:t>
      </w:r>
      <w:r>
        <w:rPr>
          <w:rFonts w:hint="eastAsia" w:ascii="仿宋_GB2312" w:hAnsi="仿宋_GB2312" w:eastAsia="仿宋_GB2312" w:cs="仿宋_GB2312"/>
          <w:i w:val="0"/>
          <w:iCs w:val="0"/>
          <w:caps w:val="0"/>
          <w:color w:val="333333"/>
          <w:spacing w:val="0"/>
          <w:sz w:val="32"/>
          <w:szCs w:val="32"/>
          <w:shd w:val="clear" w:fill="FFFFFF"/>
        </w:rPr>
        <w:t>部门整体支出绩效评价得分为</w:t>
      </w:r>
      <w:r>
        <w:rPr>
          <w:rFonts w:hint="eastAsia" w:ascii="仿宋_GB2312" w:hAnsi="仿宋_GB2312" w:eastAsia="仿宋_GB2312" w:cs="仿宋_GB2312"/>
          <w:i w:val="0"/>
          <w:iCs w:val="0"/>
          <w:caps w:val="0"/>
          <w:color w:val="000000"/>
          <w:spacing w:val="0"/>
          <w:sz w:val="32"/>
          <w:szCs w:val="32"/>
          <w:shd w:val="clear" w:fill="FFFFFF"/>
          <w:lang w:val="en-US" w:eastAsia="zh-CN"/>
        </w:rPr>
        <w:t>97</w:t>
      </w:r>
      <w:r>
        <w:rPr>
          <w:rFonts w:hint="eastAsia" w:ascii="仿宋_GB2312" w:hAnsi="仿宋_GB2312" w:eastAsia="仿宋_GB2312" w:cs="仿宋_GB2312"/>
          <w:i w:val="0"/>
          <w:iCs w:val="0"/>
          <w:caps w:val="0"/>
          <w:color w:val="000000"/>
          <w:spacing w:val="0"/>
          <w:sz w:val="32"/>
          <w:szCs w:val="32"/>
          <w:shd w:val="clear" w:fill="FFFFFF"/>
        </w:rPr>
        <w:t>分</w:t>
      </w:r>
      <w:r>
        <w:rPr>
          <w:rFonts w:hint="eastAsia" w:ascii="仿宋_GB2312" w:hAnsi="仿宋_GB2312" w:eastAsia="仿宋_GB2312" w:cs="仿宋_GB2312"/>
          <w:i w:val="0"/>
          <w:iCs w:val="0"/>
          <w:caps w:val="0"/>
          <w:color w:val="333333"/>
          <w:spacing w:val="0"/>
          <w:sz w:val="32"/>
          <w:szCs w:val="32"/>
          <w:shd w:val="clear" w:fill="FFFFFF"/>
        </w:rPr>
        <w:t>，评价结果等次为“优”。</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40" w:lineRule="exact"/>
        <w:ind w:right="0" w:firstLine="642" w:firstLineChars="200"/>
        <w:textAlignment w:val="center"/>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八、主要经验做法、存在的问题及原因分析</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40" w:lineRule="exact"/>
        <w:ind w:left="0" w:right="0" w:firstLine="648"/>
        <w:textAlignment w:val="center"/>
        <w:rPr>
          <w:rFonts w:hint="eastAsia" w:ascii="仿宋_GB2312" w:hAnsi="仿宋_GB2312" w:eastAsia="仿宋_GB2312" w:cs="仿宋_GB2312"/>
          <w:i w:val="0"/>
          <w:iCs w:val="0"/>
          <w:caps w:val="0"/>
          <w:color w:val="000000"/>
          <w:spacing w:val="0"/>
          <w:sz w:val="32"/>
          <w:szCs w:val="32"/>
          <w:shd w:val="clear" w:fill="FFFFFF"/>
        </w:rPr>
      </w:pPr>
      <w:r>
        <w:rPr>
          <w:rStyle w:val="12"/>
          <w:rFonts w:hint="eastAsia" w:ascii="仿宋_GB2312" w:hAnsi="仿宋_GB2312" w:eastAsia="仿宋_GB2312" w:cs="仿宋_GB2312"/>
          <w:b w:val="0"/>
          <w:bCs/>
          <w:i w:val="0"/>
          <w:iCs w:val="0"/>
          <w:caps w:val="0"/>
          <w:color w:val="333333"/>
          <w:spacing w:val="0"/>
          <w:sz w:val="32"/>
          <w:szCs w:val="32"/>
          <w:shd w:val="clear" w:fill="FFFFFF"/>
        </w:rPr>
        <w:t>（</w:t>
      </w:r>
      <w:r>
        <w:rPr>
          <w:rFonts w:hint="eastAsia" w:ascii="仿宋_GB2312" w:hAnsi="仿宋_GB2312" w:eastAsia="仿宋_GB2312" w:cs="仿宋_GB2312"/>
          <w:i w:val="0"/>
          <w:iCs w:val="0"/>
          <w:caps w:val="0"/>
          <w:color w:val="000000"/>
          <w:spacing w:val="0"/>
          <w:sz w:val="32"/>
          <w:szCs w:val="32"/>
          <w:shd w:val="clear" w:fill="FFFFFF"/>
        </w:rPr>
        <w:t>一）主要经验</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40" w:lineRule="exact"/>
        <w:ind w:left="0" w:right="0" w:firstLine="648"/>
        <w:textAlignment w:val="center"/>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1、加强各部门之间的联系，加强预算管理和控制，科学设置绩效自评各项指标值。</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40" w:lineRule="exact"/>
        <w:ind w:left="0" w:right="0" w:firstLine="648"/>
        <w:textAlignment w:val="center"/>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2、202</w:t>
      </w:r>
      <w:r>
        <w:rPr>
          <w:rFonts w:hint="eastAsia" w:ascii="仿宋_GB2312" w:hAnsi="仿宋_GB2312" w:eastAsia="仿宋_GB2312" w:cs="仿宋_GB2312"/>
          <w:i w:val="0"/>
          <w:iCs w:val="0"/>
          <w:caps w:val="0"/>
          <w:color w:val="000000"/>
          <w:spacing w:val="0"/>
          <w:sz w:val="32"/>
          <w:szCs w:val="32"/>
          <w:shd w:val="clear" w:fill="FFFFFF"/>
          <w:lang w:val="en-US" w:eastAsia="zh-CN"/>
        </w:rPr>
        <w:t>2</w:t>
      </w:r>
      <w:r>
        <w:rPr>
          <w:rFonts w:hint="eastAsia" w:ascii="仿宋_GB2312" w:hAnsi="仿宋_GB2312" w:eastAsia="仿宋_GB2312" w:cs="仿宋_GB2312"/>
          <w:i w:val="0"/>
          <w:iCs w:val="0"/>
          <w:caps w:val="0"/>
          <w:color w:val="000000"/>
          <w:spacing w:val="0"/>
          <w:sz w:val="32"/>
          <w:szCs w:val="32"/>
          <w:shd w:val="clear" w:fill="FFFFFF"/>
        </w:rPr>
        <w:t>年全州商务工作在州委州政府的坚强领导下，在各级各部门的大力支持下，聚焦新目标，担当新作为，把握新形势，抓住新机遇，瞄准新航向，创新举措，真抓实干，成效明显，全州商务工作呈现新气象。</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40" w:lineRule="exact"/>
        <w:ind w:left="0" w:right="0" w:firstLine="648"/>
        <w:textAlignment w:val="center"/>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（二）存在的问题</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40" w:lineRule="exact"/>
        <w:ind w:left="0" w:right="0" w:firstLine="648"/>
        <w:textAlignment w:val="center"/>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1、因落实国家政策和不可抗力因素，年初编制预算与实际需求偏差太大，导致年内预算追加较大（如职工各项奖励</w:t>
      </w:r>
      <w:r>
        <w:rPr>
          <w:rFonts w:hint="eastAsia" w:ascii="仿宋_GB2312" w:hAnsi="仿宋_GB2312" w:eastAsia="仿宋_GB2312" w:cs="仿宋_GB2312"/>
          <w:i w:val="0"/>
          <w:iCs w:val="0"/>
          <w:caps w:val="0"/>
          <w:color w:val="000000"/>
          <w:spacing w:val="0"/>
          <w:sz w:val="32"/>
          <w:szCs w:val="32"/>
          <w:shd w:val="clear" w:fill="FFFFFF"/>
          <w:lang w:eastAsia="zh-CN"/>
        </w:rPr>
        <w:t>金、发放政府消费券及对企业的奖补等过路资金</w:t>
      </w:r>
      <w:r>
        <w:rPr>
          <w:rFonts w:hint="eastAsia" w:ascii="仿宋_GB2312" w:hAnsi="仿宋_GB2312" w:eastAsia="仿宋_GB2312" w:cs="仿宋_GB2312"/>
          <w:i w:val="0"/>
          <w:iCs w:val="0"/>
          <w:caps w:val="0"/>
          <w:color w:val="000000"/>
          <w:spacing w:val="0"/>
          <w:sz w:val="32"/>
          <w:szCs w:val="32"/>
          <w:shd w:val="clear" w:fill="FFFFFF"/>
        </w:rPr>
        <w:t>），造成调整预算数大于年初预算数。</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40" w:lineRule="exact"/>
        <w:ind w:left="0" w:right="0" w:firstLine="648"/>
        <w:textAlignment w:val="center"/>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2、财务监督职能未能有效发挥。财务的工作限于业务发生后</w:t>
      </w:r>
      <w:r>
        <w:rPr>
          <w:rFonts w:hint="eastAsia" w:ascii="仿宋_GB2312" w:hAnsi="仿宋_GB2312" w:eastAsia="仿宋_GB2312" w:cs="仿宋_GB2312"/>
          <w:i w:val="0"/>
          <w:iCs w:val="0"/>
          <w:caps w:val="0"/>
          <w:color w:val="000000"/>
          <w:spacing w:val="0"/>
          <w:sz w:val="32"/>
          <w:szCs w:val="32"/>
          <w:shd w:val="clear" w:fill="FFFFFF"/>
          <w:lang w:eastAsia="zh-CN"/>
        </w:rPr>
        <w:t>报</w:t>
      </w:r>
      <w:r>
        <w:rPr>
          <w:rFonts w:hint="eastAsia" w:ascii="仿宋_GB2312" w:hAnsi="仿宋_GB2312" w:eastAsia="仿宋_GB2312" w:cs="仿宋_GB2312"/>
          <w:i w:val="0"/>
          <w:iCs w:val="0"/>
          <w:caps w:val="0"/>
          <w:color w:val="000000"/>
          <w:spacing w:val="0"/>
          <w:sz w:val="32"/>
          <w:szCs w:val="32"/>
          <w:shd w:val="clear" w:fill="FFFFFF"/>
        </w:rPr>
        <w:t>账、算账、</w:t>
      </w:r>
      <w:r>
        <w:rPr>
          <w:rFonts w:hint="eastAsia" w:ascii="仿宋_GB2312" w:hAnsi="仿宋_GB2312" w:eastAsia="仿宋_GB2312" w:cs="仿宋_GB2312"/>
          <w:i w:val="0"/>
          <w:iCs w:val="0"/>
          <w:caps w:val="0"/>
          <w:color w:val="000000"/>
          <w:spacing w:val="0"/>
          <w:sz w:val="32"/>
          <w:szCs w:val="32"/>
          <w:shd w:val="clear" w:fill="FFFFFF"/>
          <w:lang w:eastAsia="zh-CN"/>
        </w:rPr>
        <w:t>记</w:t>
      </w:r>
      <w:r>
        <w:rPr>
          <w:rFonts w:hint="eastAsia" w:ascii="仿宋_GB2312" w:hAnsi="仿宋_GB2312" w:eastAsia="仿宋_GB2312" w:cs="仿宋_GB2312"/>
          <w:i w:val="0"/>
          <w:iCs w:val="0"/>
          <w:caps w:val="0"/>
          <w:color w:val="000000"/>
          <w:spacing w:val="0"/>
          <w:sz w:val="32"/>
          <w:szCs w:val="32"/>
          <w:shd w:val="clear" w:fill="FFFFFF"/>
        </w:rPr>
        <w:t>账，对业务活动的有关事项，未参与到业务的决策和实施过程，与业务环节控制在一定程度上脱节，对单位重要事项的决策、实施过程和结果了解不详，未能对业务部门实施必要的财务控制和监督。</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40" w:lineRule="exact"/>
        <w:ind w:left="0" w:right="0" w:firstLine="648"/>
        <w:textAlignment w:val="center"/>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3、预算管理过程中，仍存在绩效管理意识不强。主要集中在绩效管理意识薄弱，以及缺乏有效的监督机制。</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40" w:lineRule="exact"/>
        <w:ind w:left="0" w:right="0" w:firstLine="648"/>
        <w:textAlignment w:val="center"/>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（三）改进措施</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40" w:lineRule="exact"/>
        <w:ind w:left="0" w:right="0" w:firstLine="648"/>
        <w:textAlignment w:val="center"/>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1、绩效管理不只是财政支出方面，而应更加注重产出及效率，强化绩效管理责任制度，更好地促进我们履行职责。</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40" w:lineRule="exact"/>
        <w:ind w:left="0" w:right="0" w:firstLine="648"/>
        <w:textAlignment w:val="center"/>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2、预算要结合本单位的事业发展计划、职责和任务测算，下年度确实需要开支的经费，能编进预算的尽量准确地编进预算，以确保部门预算编制真实、准确、完整。州商务局因年初制定的预算与实际需求偏差太大，年中根据实际情况申请追加了大量的预算，影响了预算完成率。</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40" w:lineRule="exact"/>
        <w:ind w:left="0" w:right="0" w:firstLine="648"/>
        <w:textAlignment w:val="center"/>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3、在抓好财</w:t>
      </w:r>
      <w:r>
        <w:rPr>
          <w:rFonts w:hint="eastAsia" w:ascii="仿宋_GB2312" w:hAnsi="仿宋_GB2312" w:eastAsia="仿宋_GB2312" w:cs="仿宋_GB2312"/>
          <w:i w:val="0"/>
          <w:iCs w:val="0"/>
          <w:caps w:val="0"/>
          <w:color w:val="000000"/>
          <w:spacing w:val="0"/>
          <w:sz w:val="32"/>
          <w:szCs w:val="32"/>
          <w:shd w:val="clear" w:fill="FFFFFF"/>
          <w:lang w:eastAsia="zh-CN"/>
        </w:rPr>
        <w:t>务</w:t>
      </w:r>
      <w:r>
        <w:rPr>
          <w:rFonts w:hint="eastAsia" w:ascii="仿宋_GB2312" w:hAnsi="仿宋_GB2312" w:eastAsia="仿宋_GB2312" w:cs="仿宋_GB2312"/>
          <w:i w:val="0"/>
          <w:iCs w:val="0"/>
          <w:caps w:val="0"/>
          <w:color w:val="000000"/>
          <w:spacing w:val="0"/>
          <w:sz w:val="32"/>
          <w:szCs w:val="32"/>
          <w:shd w:val="clear" w:fill="FFFFFF"/>
        </w:rPr>
        <w:t>支出工作的同时，要注重产出及效率，这样才能达到优化资源配置、控制节约成本、提高公共服务水平的目的。要强化绩效管理考核，将绩效考核目标任务层层分解落实，签订目标管理责任状，形成“谁干事谁花钱，谁花钱谁担责”的权责机制，加强日常监管，对重点工作开展专项督查，建立健全绩效问责机制，确保各项绩效目标指标保质保量完成，提高财政资金的使用效益。</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40" w:lineRule="exact"/>
        <w:ind w:right="0" w:firstLine="642" w:firstLineChars="200"/>
        <w:textAlignment w:val="center"/>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九、有关建议</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40" w:lineRule="exact"/>
        <w:ind w:left="0" w:right="0" w:firstLine="648"/>
        <w:textAlignment w:val="center"/>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1、细化预算编制工作，认真做好预算编制工作，落实落细部门预算。进一步加强各科室预算管理意识，严格按照预算编制的相关制度和要求进行预算编制；全面编制预算项目，优先保障固定性的、相对刚性的费用支出项目，进一步提高预算编制的科学性、严谨性和可控性。</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40" w:lineRule="exact"/>
        <w:ind w:left="0" w:right="0" w:firstLine="648"/>
        <w:textAlignment w:val="center"/>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2、加强财务管理，严格财务审核。加强单位财务管理，健全单位财务管理制度体系，规范单位财务行为。在费用申报时，按照预算规定的费用项目和用途进行资金使用审核、列报项目支付情况，杜绝超支现象发生。</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40" w:lineRule="exact"/>
        <w:ind w:left="0" w:right="0" w:firstLine="648"/>
        <w:textAlignment w:val="center"/>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3、在绩效管理上，只有重视了预算绩效的管理，强化支出责任，财政资金的使用效率才能得到最大的提升。</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40" w:lineRule="exact"/>
        <w:ind w:left="0" w:right="0" w:firstLine="648"/>
        <w:textAlignment w:val="center"/>
        <w:rPr>
          <w:rFonts w:hint="eastAsia" w:ascii="仿宋_GB2312" w:hAnsi="仿宋_GB2312" w:eastAsia="仿宋_GB2312" w:cs="仿宋_GB2312"/>
          <w:i w:val="0"/>
          <w:iCs w:val="0"/>
          <w:caps w:val="0"/>
          <w:color w:val="000000"/>
          <w:spacing w:val="0"/>
          <w:sz w:val="32"/>
          <w:szCs w:val="32"/>
          <w:shd w:val="clear" w:fill="FFFFFF"/>
          <w:lang w:eastAsia="zh-CN"/>
        </w:rPr>
      </w:pPr>
      <w:r>
        <w:rPr>
          <w:rFonts w:hint="eastAsia" w:ascii="仿宋_GB2312" w:hAnsi="仿宋_GB2312" w:eastAsia="仿宋_GB2312" w:cs="仿宋_GB2312"/>
          <w:i w:val="0"/>
          <w:iCs w:val="0"/>
          <w:caps w:val="0"/>
          <w:color w:val="000000"/>
          <w:spacing w:val="0"/>
          <w:sz w:val="32"/>
          <w:szCs w:val="32"/>
          <w:shd w:val="clear" w:fill="FFFFFF"/>
        </w:rPr>
        <w:t>4、绩效评价指标设置应与实际相结合</w:t>
      </w:r>
      <w:r>
        <w:rPr>
          <w:rFonts w:hint="eastAsia" w:ascii="仿宋_GB2312" w:hAnsi="仿宋_GB2312" w:eastAsia="仿宋_GB2312" w:cs="仿宋_GB2312"/>
          <w:i w:val="0"/>
          <w:iCs w:val="0"/>
          <w:caps w:val="0"/>
          <w:color w:val="000000"/>
          <w:spacing w:val="0"/>
          <w:sz w:val="32"/>
          <w:szCs w:val="32"/>
          <w:shd w:val="clear" w:fill="FFFFFF"/>
          <w:lang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40" w:lineRule="exact"/>
        <w:ind w:right="0" w:firstLine="642" w:firstLineChars="200"/>
        <w:textAlignment w:val="center"/>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十、绩效自评结果拟应用和公开情况</w:t>
      </w:r>
    </w:p>
    <w:p>
      <w:pPr>
        <w:keepNext w:val="0"/>
        <w:keepLines w:val="0"/>
        <w:pageBreakBefore w:val="0"/>
        <w:kinsoku/>
        <w:wordWrap/>
        <w:overflowPunct/>
        <w:topLinePunct w:val="0"/>
        <w:autoSpaceDE/>
        <w:autoSpaceDN/>
        <w:bidi w:val="0"/>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本次绩效评价完成后，绩效自评结果将在</w:t>
      </w:r>
      <w:r>
        <w:rPr>
          <w:rFonts w:hint="eastAsia" w:ascii="仿宋_GB2312" w:hAnsi="仿宋_GB2312" w:eastAsia="仿宋_GB2312" w:cs="仿宋_GB2312"/>
          <w:sz w:val="32"/>
          <w:szCs w:val="32"/>
          <w:lang w:eastAsia="zh-CN"/>
        </w:rPr>
        <w:t>州级预决算公开平台及</w:t>
      </w:r>
      <w:r>
        <w:rPr>
          <w:rFonts w:hint="eastAsia" w:ascii="仿宋_GB2312" w:hAnsi="仿宋_GB2312" w:eastAsia="仿宋_GB2312" w:cs="仿宋_GB2312"/>
          <w:sz w:val="32"/>
          <w:szCs w:val="32"/>
        </w:rPr>
        <w:t>我局门户网站上进行信息公开，接受社会监督。并将以此次自评结果为依据，在今后的工作中，积极推进我州商务工作的开展，进一步促进我州商务事业健康发展。</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40" w:lineRule="exact"/>
        <w:ind w:right="0" w:firstLine="642" w:firstLineChars="200"/>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十一、其他需要说明的问题</w:t>
      </w:r>
    </w:p>
    <w:p>
      <w:pPr>
        <w:keepNext w:val="0"/>
        <w:keepLines w:val="0"/>
        <w:pageBreakBefore w:val="0"/>
        <w:kinsoku/>
        <w:wordWrap/>
        <w:overflowPunct/>
        <w:topLinePunct w:val="0"/>
        <w:autoSpaceDE/>
        <w:autoSpaceDN/>
        <w:bidi w:val="0"/>
        <w:spacing w:line="540" w:lineRule="exact"/>
        <w:ind w:firstLine="1920" w:firstLineChars="60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sz w:val="32"/>
          <w:szCs w:val="32"/>
        </w:rPr>
        <w:t>无</w:t>
      </w:r>
    </w:p>
    <w:p>
      <w:pPr>
        <w:keepNext w:val="0"/>
        <w:keepLines w:val="0"/>
        <w:pageBreakBefore w:val="0"/>
        <w:kinsoku/>
        <w:wordWrap/>
        <w:overflowPunct/>
        <w:topLinePunct w:val="0"/>
        <w:autoSpaceDE/>
        <w:autoSpaceDN/>
        <w:bidi w:val="0"/>
        <w:spacing w:line="540" w:lineRule="exact"/>
        <w:ind w:left="1145" w:leftChars="305" w:hanging="505" w:hangingChars="158"/>
        <w:rPr>
          <w:rFonts w:hint="eastAsia" w:ascii="仿宋_GB2312" w:hAnsi="仿宋_GB2312" w:eastAsia="仿宋_GB2312" w:cs="仿宋_GB2312"/>
          <w:i w:val="0"/>
          <w:iCs w:val="0"/>
          <w:caps w:val="0"/>
          <w:color w:val="333333"/>
          <w:spacing w:val="0"/>
          <w:sz w:val="32"/>
          <w:szCs w:val="32"/>
          <w:shd w:val="clear" w:fill="FFFFFF"/>
        </w:rPr>
      </w:pPr>
    </w:p>
    <w:p>
      <w:pPr>
        <w:keepNext w:val="0"/>
        <w:keepLines w:val="0"/>
        <w:pageBreakBefore w:val="0"/>
        <w:kinsoku/>
        <w:wordWrap/>
        <w:overflowPunct/>
        <w:topLinePunct w:val="0"/>
        <w:autoSpaceDE/>
        <w:autoSpaceDN/>
        <w:bidi w:val="0"/>
        <w:spacing w:line="540" w:lineRule="exact"/>
        <w:ind w:left="1145" w:leftChars="305" w:hanging="505" w:hangingChars="158"/>
        <w:rPr>
          <w:rFonts w:hint="eastAsia" w:ascii="仿宋_GB2312" w:hAnsi="仿宋_GB2312" w:eastAsia="仿宋_GB2312" w:cs="仿宋_GB2312"/>
          <w:i w:val="0"/>
          <w:iCs w:val="0"/>
          <w:caps w:val="0"/>
          <w:color w:val="333333"/>
          <w:spacing w:val="0"/>
          <w:sz w:val="32"/>
          <w:szCs w:val="32"/>
          <w:shd w:val="clear" w:fill="FFFFFF"/>
        </w:rPr>
      </w:pPr>
    </w:p>
    <w:p>
      <w:pPr>
        <w:keepNext w:val="0"/>
        <w:keepLines w:val="0"/>
        <w:pageBreakBefore w:val="0"/>
        <w:kinsoku/>
        <w:wordWrap/>
        <w:overflowPunct/>
        <w:topLinePunct w:val="0"/>
        <w:autoSpaceDE/>
        <w:autoSpaceDN/>
        <w:bidi w:val="0"/>
        <w:spacing w:line="5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w:t>
      </w:r>
    </w:p>
    <w:p>
      <w:pPr>
        <w:keepNext w:val="0"/>
        <w:keepLines w:val="0"/>
        <w:pageBreakBefore w:val="0"/>
        <w:kinsoku/>
        <w:wordWrap/>
        <w:overflowPunct/>
        <w:topLinePunct w:val="0"/>
        <w:autoSpaceDE/>
        <w:autoSpaceDN/>
        <w:bidi w:val="0"/>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 w:eastAsia="zh-CN"/>
        </w:rPr>
        <w:t>1</w:t>
      </w:r>
      <w:r>
        <w:rPr>
          <w:rFonts w:hint="eastAsia" w:ascii="仿宋_GB2312" w:hAnsi="仿宋_GB2312" w:eastAsia="仿宋_GB2312" w:cs="仿宋_GB2312"/>
          <w:sz w:val="32"/>
          <w:szCs w:val="32"/>
          <w:lang w:val="en-US" w:eastAsia="zh-CN"/>
        </w:rPr>
        <w:t>、基础</w:t>
      </w:r>
      <w:r>
        <w:rPr>
          <w:rFonts w:hint="eastAsia" w:ascii="仿宋_GB2312" w:hAnsi="仿宋_GB2312" w:eastAsia="仿宋_GB2312" w:cs="仿宋_GB2312"/>
          <w:sz w:val="32"/>
          <w:szCs w:val="32"/>
        </w:rPr>
        <w:t>数据表</w:t>
      </w:r>
    </w:p>
    <w:p>
      <w:pPr>
        <w:keepNext w:val="0"/>
        <w:keepLines w:val="0"/>
        <w:pageBreakBefore w:val="0"/>
        <w:kinsoku/>
        <w:wordWrap/>
        <w:overflowPunct/>
        <w:topLinePunct w:val="0"/>
        <w:autoSpaceDE/>
        <w:autoSpaceDN/>
        <w:bidi w:val="0"/>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部门</w:t>
      </w:r>
      <w:r>
        <w:rPr>
          <w:rFonts w:hint="eastAsia" w:ascii="仿宋_GB2312" w:hAnsi="仿宋_GB2312" w:eastAsia="仿宋_GB2312" w:cs="仿宋_GB2312"/>
          <w:sz w:val="32"/>
          <w:szCs w:val="32"/>
        </w:rPr>
        <w:t>整体支出绩效自评表</w:t>
      </w:r>
    </w:p>
    <w:p>
      <w:pPr>
        <w:keepNext w:val="0"/>
        <w:keepLines w:val="0"/>
        <w:pageBreakBefore w:val="0"/>
        <w:kinsoku/>
        <w:wordWrap/>
        <w:overflowPunct/>
        <w:topLinePunct w:val="0"/>
        <w:autoSpaceDE/>
        <w:autoSpaceDN/>
        <w:bidi w:val="0"/>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 w:eastAsia="zh-CN"/>
        </w:rPr>
        <w:t>3</w:t>
      </w:r>
      <w:r>
        <w:rPr>
          <w:rFonts w:hint="eastAsia" w:ascii="仿宋_GB2312" w:hAnsi="仿宋_GB2312" w:eastAsia="仿宋_GB2312" w:cs="仿宋_GB2312"/>
          <w:sz w:val="32"/>
          <w:szCs w:val="32"/>
        </w:rPr>
        <w:t>、项目支出绩效自评表</w:t>
      </w:r>
    </w:p>
    <w:p>
      <w:pPr>
        <w:keepNext w:val="0"/>
        <w:keepLines w:val="0"/>
        <w:pageBreakBefore w:val="0"/>
        <w:kinsoku/>
        <w:wordWrap/>
        <w:overflowPunct/>
        <w:topLinePunct w:val="0"/>
        <w:autoSpaceDE/>
        <w:autoSpaceDN/>
        <w:bidi w:val="0"/>
        <w:spacing w:line="5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4、州级预算部门政府性基金预算支出绩效自评表</w:t>
      </w:r>
    </w:p>
    <w:p>
      <w:pPr>
        <w:keepNext w:val="0"/>
        <w:keepLines w:val="0"/>
        <w:pageBreakBefore w:val="0"/>
        <w:kinsoku/>
        <w:wordWrap/>
        <w:overflowPunct/>
        <w:topLinePunct w:val="0"/>
        <w:autoSpaceDE/>
        <w:autoSpaceDN/>
        <w:bidi w:val="0"/>
        <w:spacing w:line="5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5、州级预算部门国有资本经营预算支出绩效自评表</w:t>
      </w:r>
    </w:p>
    <w:p>
      <w:pPr>
        <w:keepNext w:val="0"/>
        <w:keepLines w:val="0"/>
        <w:pageBreakBefore w:val="0"/>
        <w:kinsoku/>
        <w:wordWrap/>
        <w:overflowPunct/>
        <w:topLinePunct w:val="0"/>
        <w:autoSpaceDE/>
        <w:autoSpaceDN/>
        <w:bidi w:val="0"/>
        <w:spacing w:line="5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6、州级预算部门社会保险基金预算支出绩效自评表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center"/>
        <w:rPr>
          <w:rFonts w:hint="default" w:asciiTheme="minorEastAsia" w:hAnsiTheme="minorEastAsia" w:eastAsiaTheme="minorEastAsia" w:cstheme="minorEastAsia"/>
          <w:kern w:val="2"/>
          <w:sz w:val="32"/>
          <w:szCs w:val="32"/>
          <w:lang w:val="en-US" w:eastAsia="zh-CN" w:bidi="ar-SA"/>
        </w:rPr>
      </w:pPr>
    </w:p>
    <w:p>
      <w:pPr>
        <w:pStyle w:val="2"/>
        <w:rPr>
          <w:rFonts w:hint="eastAsia" w:eastAsiaTheme="minorEastAsia"/>
          <w:lang w:val="en-US" w:eastAsia="zh-CN"/>
        </w:rPr>
      </w:pPr>
    </w:p>
    <w:p>
      <w:pPr>
        <w:spacing w:line="600" w:lineRule="exact"/>
        <w:ind w:firstLine="640" w:firstLineChars="200"/>
        <w:rPr>
          <w:rFonts w:hint="eastAsia" w:asciiTheme="minorEastAsia" w:hAnsiTheme="minorEastAsia" w:eastAsiaTheme="minorEastAsia" w:cstheme="minorEastAsia"/>
          <w:sz w:val="32"/>
          <w:szCs w:val="32"/>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right="0"/>
        <w:textAlignment w:val="center"/>
        <w:rPr>
          <w:rFonts w:hint="eastAsia" w:asciiTheme="minorEastAsia" w:hAnsiTheme="minorEastAsia" w:eastAsiaTheme="minorEastAsia" w:cstheme="minorEastAsia"/>
          <w:i w:val="0"/>
          <w:iCs w:val="0"/>
          <w:caps w:val="0"/>
          <w:color w:val="333333"/>
          <w:spacing w:val="0"/>
          <w:sz w:val="32"/>
          <w:szCs w:val="32"/>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right="0"/>
        <w:textAlignment w:val="center"/>
        <w:rPr>
          <w:rFonts w:hint="eastAsia" w:asciiTheme="minorEastAsia" w:hAnsiTheme="minorEastAsia" w:eastAsiaTheme="minorEastAsia" w:cstheme="minorEastAsia"/>
          <w:i w:val="0"/>
          <w:iCs w:val="0"/>
          <w:caps w:val="0"/>
          <w:color w:val="333333"/>
          <w:spacing w:val="0"/>
          <w:sz w:val="32"/>
          <w:szCs w:val="32"/>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right="0"/>
        <w:textAlignment w:val="center"/>
        <w:rPr>
          <w:rFonts w:hint="eastAsia" w:asciiTheme="minorEastAsia" w:hAnsiTheme="minorEastAsia" w:eastAsiaTheme="minorEastAsia" w:cstheme="minorEastAsia"/>
          <w:i w:val="0"/>
          <w:iCs w:val="0"/>
          <w:caps w:val="0"/>
          <w:color w:val="333333"/>
          <w:spacing w:val="0"/>
          <w:sz w:val="32"/>
          <w:szCs w:val="32"/>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right="0" w:firstLine="3200" w:firstLineChars="1000"/>
        <w:jc w:val="both"/>
        <w:textAlignment w:val="center"/>
        <w:rPr>
          <w:rFonts w:hint="eastAsia" w:asciiTheme="minorEastAsia" w:hAnsiTheme="minorEastAsia" w:eastAsiaTheme="minorEastAsia" w:cstheme="minorEastAsia"/>
          <w:kern w:val="2"/>
          <w:sz w:val="32"/>
          <w:szCs w:val="32"/>
          <w:lang w:val="en-US" w:eastAsia="zh-CN" w:bidi="ar-SA"/>
        </w:rPr>
      </w:pPr>
      <w:r>
        <w:rPr>
          <w:rFonts w:hint="eastAsia" w:asciiTheme="minorEastAsia" w:hAnsiTheme="minorEastAsia" w:eastAsiaTheme="minorEastAsia" w:cstheme="minorEastAsia"/>
          <w:kern w:val="2"/>
          <w:sz w:val="32"/>
          <w:szCs w:val="32"/>
          <w:lang w:val="en-US" w:eastAsia="zh-CN" w:bidi="ar-SA"/>
        </w:rPr>
        <w:t>湘西土家族苗族自治州商务局</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right="0" w:firstLine="4160" w:firstLineChars="1300"/>
        <w:jc w:val="both"/>
        <w:textAlignment w:val="center"/>
        <w:rPr>
          <w:rFonts w:hint="eastAsia" w:asciiTheme="minorEastAsia" w:hAnsiTheme="minorEastAsia" w:eastAsiaTheme="minorEastAsia" w:cstheme="minorEastAsia"/>
          <w:kern w:val="2"/>
          <w:sz w:val="32"/>
          <w:szCs w:val="32"/>
          <w:lang w:val="en-US" w:eastAsia="zh-CN" w:bidi="ar-SA"/>
        </w:rPr>
      </w:pPr>
      <w:r>
        <w:rPr>
          <w:rFonts w:hint="eastAsia" w:asciiTheme="minorEastAsia" w:hAnsiTheme="minorEastAsia" w:eastAsiaTheme="minorEastAsia" w:cstheme="minorEastAsia"/>
          <w:kern w:val="2"/>
          <w:sz w:val="32"/>
          <w:szCs w:val="32"/>
          <w:lang w:val="en-US" w:eastAsia="zh-CN" w:bidi="ar-SA"/>
        </w:rPr>
        <w:t>202</w:t>
      </w:r>
      <w:r>
        <w:rPr>
          <w:rFonts w:hint="eastAsia" w:asciiTheme="minorEastAsia" w:hAnsiTheme="minorEastAsia" w:cstheme="minorEastAsia"/>
          <w:kern w:val="2"/>
          <w:sz w:val="32"/>
          <w:szCs w:val="32"/>
          <w:lang w:val="en-US" w:eastAsia="zh-CN" w:bidi="ar-SA"/>
        </w:rPr>
        <w:t>3</w:t>
      </w:r>
      <w:r>
        <w:rPr>
          <w:rFonts w:hint="eastAsia" w:asciiTheme="minorEastAsia" w:hAnsiTheme="minorEastAsia" w:eastAsiaTheme="minorEastAsia" w:cstheme="minorEastAsia"/>
          <w:kern w:val="2"/>
          <w:sz w:val="32"/>
          <w:szCs w:val="32"/>
          <w:lang w:val="en-US" w:eastAsia="zh-CN" w:bidi="ar-SA"/>
        </w:rPr>
        <w:t>年</w:t>
      </w:r>
      <w:r>
        <w:rPr>
          <w:rFonts w:hint="eastAsia" w:asciiTheme="minorEastAsia" w:hAnsiTheme="minorEastAsia" w:cstheme="minorEastAsia"/>
          <w:kern w:val="2"/>
          <w:sz w:val="32"/>
          <w:szCs w:val="32"/>
          <w:lang w:val="en-US" w:eastAsia="zh-CN" w:bidi="ar-SA"/>
        </w:rPr>
        <w:t>6</w:t>
      </w:r>
      <w:r>
        <w:rPr>
          <w:rFonts w:hint="eastAsia" w:asciiTheme="minorEastAsia" w:hAnsiTheme="minorEastAsia" w:eastAsiaTheme="minorEastAsia" w:cstheme="minorEastAsia"/>
          <w:kern w:val="2"/>
          <w:sz w:val="32"/>
          <w:szCs w:val="32"/>
          <w:lang w:val="en-US" w:eastAsia="zh-CN" w:bidi="ar-SA"/>
        </w:rPr>
        <w:t>月</w:t>
      </w:r>
      <w:r>
        <w:rPr>
          <w:rFonts w:hint="eastAsia" w:asciiTheme="minorEastAsia" w:hAnsiTheme="minorEastAsia" w:cstheme="minorEastAsia"/>
          <w:kern w:val="2"/>
          <w:sz w:val="32"/>
          <w:szCs w:val="32"/>
          <w:lang w:val="en-US" w:eastAsia="zh-CN" w:bidi="ar-SA"/>
        </w:rPr>
        <w:t>1</w:t>
      </w:r>
      <w:r>
        <w:rPr>
          <w:rFonts w:hint="eastAsia" w:asciiTheme="minorEastAsia" w:hAnsiTheme="minorEastAsia" w:eastAsiaTheme="minorEastAsia" w:cstheme="minorEastAsia"/>
          <w:kern w:val="2"/>
          <w:sz w:val="32"/>
          <w:szCs w:val="32"/>
          <w:lang w:val="en-US" w:eastAsia="zh-CN" w:bidi="ar-SA"/>
        </w:rPr>
        <w:t>日</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right="0" w:firstLine="4160" w:firstLineChars="1300"/>
        <w:jc w:val="both"/>
        <w:textAlignment w:val="center"/>
        <w:rPr>
          <w:rFonts w:hint="eastAsia" w:asciiTheme="minorEastAsia" w:hAnsiTheme="minorEastAsia" w:eastAsiaTheme="minorEastAsia" w:cstheme="minorEastAsia"/>
          <w:kern w:val="2"/>
          <w:sz w:val="32"/>
          <w:szCs w:val="32"/>
          <w:lang w:val="en-US" w:eastAsia="zh-CN" w:bidi="ar-SA"/>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right="0" w:firstLine="4160" w:firstLineChars="1300"/>
        <w:jc w:val="both"/>
        <w:textAlignment w:val="center"/>
        <w:rPr>
          <w:rFonts w:hint="eastAsia" w:asciiTheme="minorEastAsia" w:hAnsiTheme="minorEastAsia" w:eastAsiaTheme="minorEastAsia" w:cstheme="minorEastAsia"/>
          <w:kern w:val="2"/>
          <w:sz w:val="32"/>
          <w:szCs w:val="32"/>
          <w:lang w:val="en-US" w:eastAsia="zh-CN" w:bidi="ar-SA"/>
        </w:rPr>
        <w:sectPr>
          <w:pgSz w:w="11906" w:h="16838"/>
          <w:pgMar w:top="1440" w:right="1800" w:bottom="1440" w:left="1800" w:header="851" w:footer="992" w:gutter="0"/>
          <w:cols w:space="425" w:num="1"/>
          <w:docGrid w:type="lines" w:linePitch="312" w:charSpace="0"/>
        </w:sect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center"/>
        <w:rPr>
          <w:rFonts w:hint="eastAsia" w:eastAsia="仿宋_GB2312" w:cs="仿宋_GB2312"/>
          <w:kern w:val="2"/>
          <w:sz w:val="32"/>
          <w:szCs w:val="32"/>
          <w:lang w:val="en-US" w:eastAsia="zh-CN" w:bidi="ar-SA"/>
        </w:rPr>
      </w:pPr>
      <w:r>
        <w:rPr>
          <w:rFonts w:hint="eastAsia" w:eastAsia="仿宋_GB2312" w:cs="仿宋_GB2312"/>
          <w:kern w:val="2"/>
          <w:sz w:val="32"/>
          <w:szCs w:val="32"/>
          <w:lang w:val="en-US" w:eastAsia="zh-CN" w:bidi="ar-SA"/>
        </w:rPr>
        <w:t>附件1</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720" w:firstLineChars="200"/>
        <w:jc w:val="both"/>
        <w:textAlignment w:val="center"/>
        <w:rPr>
          <w:rFonts w:hint="eastAsia" w:ascii="方正小标宋_GBK" w:hAnsi="方正小标宋_GBK" w:eastAsia="方正小标宋_GBK" w:cs="方正小标宋_GBK"/>
          <w:kern w:val="2"/>
          <w:sz w:val="36"/>
          <w:szCs w:val="36"/>
          <w:lang w:val="en-US" w:eastAsia="zh-CN" w:bidi="ar-SA"/>
        </w:rPr>
      </w:pPr>
      <w:r>
        <w:rPr>
          <w:rFonts w:hint="eastAsia" w:ascii="方正小标宋_GBK" w:hAnsi="方正小标宋_GBK" w:eastAsia="方正小标宋_GBK" w:cs="方正小标宋_GBK"/>
          <w:kern w:val="2"/>
          <w:sz w:val="36"/>
          <w:szCs w:val="36"/>
          <w:lang w:val="en-US" w:eastAsia="zh-CN" w:bidi="ar-SA"/>
        </w:rPr>
        <w:t>州级预算部门整体支出绩效评价基础数据表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center"/>
        <w:rPr>
          <w:rFonts w:hint="eastAsia" w:eastAsia="仿宋_GB2312" w:cs="仿宋_GB2312"/>
          <w:kern w:val="2"/>
          <w:sz w:val="32"/>
          <w:szCs w:val="32"/>
          <w:lang w:val="en-US" w:eastAsia="zh-CN" w:bidi="ar-SA"/>
        </w:rPr>
      </w:pPr>
    </w:p>
    <w:tbl>
      <w:tblPr>
        <w:tblStyle w:val="10"/>
        <w:tblW w:w="879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961"/>
        <w:gridCol w:w="954"/>
        <w:gridCol w:w="891"/>
        <w:gridCol w:w="881"/>
        <w:gridCol w:w="1342"/>
        <w:gridCol w:w="888"/>
        <w:gridCol w:w="8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29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财政供养人员情况</w:t>
            </w: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2022年末编制数</w:t>
            </w:r>
          </w:p>
        </w:tc>
        <w:tc>
          <w:tcPr>
            <w:tcW w:w="22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2022年末实际在职人数</w:t>
            </w:r>
          </w:p>
        </w:tc>
        <w:tc>
          <w:tcPr>
            <w:tcW w:w="17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控制率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29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1"/>
                <w:szCs w:val="21"/>
                <w:u w:val="none"/>
              </w:rPr>
            </w:pP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val="en-US"/>
              </w:rPr>
            </w:pPr>
            <w:r>
              <w:rPr>
                <w:rFonts w:hint="eastAsia" w:ascii="仿宋" w:hAnsi="仿宋" w:eastAsia="仿宋" w:cs="仿宋"/>
                <w:i w:val="0"/>
                <w:color w:val="000000"/>
                <w:kern w:val="0"/>
                <w:sz w:val="21"/>
                <w:szCs w:val="21"/>
                <w:u w:val="none"/>
                <w:lang w:val="en-US" w:eastAsia="zh-CN" w:bidi="ar"/>
              </w:rPr>
              <w:t>75</w:t>
            </w:r>
          </w:p>
        </w:tc>
        <w:tc>
          <w:tcPr>
            <w:tcW w:w="22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val="en-US"/>
              </w:rPr>
            </w:pPr>
            <w:r>
              <w:rPr>
                <w:rFonts w:hint="eastAsia" w:ascii="仿宋" w:hAnsi="仿宋" w:eastAsia="仿宋" w:cs="仿宋"/>
                <w:i w:val="0"/>
                <w:color w:val="000000"/>
                <w:kern w:val="0"/>
                <w:sz w:val="21"/>
                <w:szCs w:val="21"/>
                <w:u w:val="none"/>
                <w:lang w:val="en-US" w:eastAsia="zh-CN" w:bidi="ar"/>
              </w:rPr>
              <w:t>66</w:t>
            </w:r>
          </w:p>
        </w:tc>
        <w:tc>
          <w:tcPr>
            <w:tcW w:w="17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val="en-US"/>
              </w:rPr>
            </w:pPr>
            <w:r>
              <w:rPr>
                <w:rFonts w:hint="eastAsia" w:ascii="仿宋" w:hAnsi="仿宋" w:eastAsia="仿宋" w:cs="仿宋"/>
                <w:i w:val="0"/>
                <w:color w:val="000000"/>
                <w:kern w:val="0"/>
                <w:sz w:val="21"/>
                <w:szCs w:val="21"/>
                <w:u w:val="none"/>
                <w:lang w:val="en-US" w:eastAsia="zh-CN" w:bidi="ar"/>
              </w:rPr>
              <w:t>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29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经费控制情况</w:t>
            </w: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2021年决算数</w:t>
            </w:r>
          </w:p>
        </w:tc>
        <w:tc>
          <w:tcPr>
            <w:tcW w:w="22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2022年预算数</w:t>
            </w:r>
          </w:p>
        </w:tc>
        <w:tc>
          <w:tcPr>
            <w:tcW w:w="17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2022年决算数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29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1"/>
                <w:szCs w:val="21"/>
                <w:u w:val="none"/>
              </w:rPr>
            </w:pP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（万元）</w:t>
            </w:r>
          </w:p>
        </w:tc>
        <w:tc>
          <w:tcPr>
            <w:tcW w:w="22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（万元）</w:t>
            </w:r>
          </w:p>
        </w:tc>
        <w:tc>
          <w:tcPr>
            <w:tcW w:w="17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2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三公经费</w:t>
            </w: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lang w:val="en-US"/>
              </w:rPr>
            </w:pPr>
            <w:r>
              <w:rPr>
                <w:rFonts w:hint="eastAsia" w:ascii="仿宋" w:hAnsi="仿宋" w:eastAsia="仿宋" w:cs="仿宋"/>
                <w:b/>
                <w:i w:val="0"/>
                <w:color w:val="000000"/>
                <w:kern w:val="0"/>
                <w:sz w:val="21"/>
                <w:szCs w:val="21"/>
                <w:u w:val="none"/>
                <w:lang w:val="en-US" w:eastAsia="zh-CN" w:bidi="ar"/>
              </w:rPr>
              <w:t>70.03</w:t>
            </w:r>
          </w:p>
        </w:tc>
        <w:tc>
          <w:tcPr>
            <w:tcW w:w="22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lang w:val="en-US"/>
              </w:rPr>
            </w:pPr>
            <w:r>
              <w:rPr>
                <w:rFonts w:hint="eastAsia" w:ascii="仿宋" w:hAnsi="仿宋" w:eastAsia="仿宋" w:cs="仿宋"/>
                <w:b/>
                <w:i w:val="0"/>
                <w:color w:val="000000"/>
                <w:kern w:val="0"/>
                <w:sz w:val="21"/>
                <w:szCs w:val="21"/>
                <w:u w:val="none"/>
                <w:lang w:val="en-US" w:eastAsia="zh-CN" w:bidi="ar"/>
              </w:rPr>
              <w:t>48.66</w:t>
            </w:r>
          </w:p>
        </w:tc>
        <w:tc>
          <w:tcPr>
            <w:tcW w:w="17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lang w:val="en-US"/>
              </w:rPr>
            </w:pPr>
            <w:r>
              <w:rPr>
                <w:rFonts w:hint="eastAsia" w:ascii="仿宋" w:hAnsi="仿宋" w:eastAsia="仿宋" w:cs="仿宋"/>
                <w:b/>
                <w:i w:val="0"/>
                <w:color w:val="000000"/>
                <w:kern w:val="0"/>
                <w:sz w:val="21"/>
                <w:szCs w:val="21"/>
                <w:u w:val="none"/>
                <w:lang w:val="en-US" w:eastAsia="zh-CN" w:bidi="ar"/>
              </w:rPr>
              <w:t>30.03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trPr>
        <w:tc>
          <w:tcPr>
            <w:tcW w:w="2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1、公务用车购置和运行维护费</w:t>
            </w: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53.72</w:t>
            </w:r>
          </w:p>
        </w:tc>
        <w:tc>
          <w:tcPr>
            <w:tcW w:w="22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val="en-US"/>
              </w:rPr>
            </w:pPr>
            <w:r>
              <w:rPr>
                <w:rFonts w:hint="eastAsia" w:ascii="仿宋" w:hAnsi="仿宋" w:eastAsia="仿宋" w:cs="仿宋"/>
                <w:i w:val="0"/>
                <w:color w:val="000000"/>
                <w:kern w:val="0"/>
                <w:sz w:val="21"/>
                <w:szCs w:val="21"/>
                <w:u w:val="none"/>
                <w:lang w:val="en-US" w:eastAsia="zh-CN" w:bidi="ar"/>
              </w:rPr>
              <w:t>24</w:t>
            </w:r>
          </w:p>
        </w:tc>
        <w:tc>
          <w:tcPr>
            <w:tcW w:w="17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val="en-US"/>
              </w:rPr>
            </w:pPr>
            <w:r>
              <w:rPr>
                <w:rFonts w:hint="eastAsia" w:ascii="仿宋" w:hAnsi="仿宋" w:eastAsia="仿宋" w:cs="仿宋"/>
                <w:i w:val="0"/>
                <w:color w:val="000000"/>
                <w:kern w:val="0"/>
                <w:sz w:val="21"/>
                <w:szCs w:val="21"/>
                <w:u w:val="none"/>
                <w:lang w:val="en-US" w:eastAsia="zh-CN" w:bidi="ar"/>
              </w:rPr>
              <w:t>22.82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2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其中：公务用车购置费</w:t>
            </w: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29.99</w:t>
            </w:r>
          </w:p>
        </w:tc>
        <w:tc>
          <w:tcPr>
            <w:tcW w:w="22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17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        公务用车运行维护费</w:t>
            </w: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val="en-US"/>
              </w:rPr>
            </w:pPr>
            <w:r>
              <w:rPr>
                <w:rFonts w:hint="eastAsia" w:ascii="仿宋" w:hAnsi="仿宋" w:eastAsia="仿宋" w:cs="仿宋"/>
                <w:i w:val="0"/>
                <w:color w:val="000000"/>
                <w:kern w:val="0"/>
                <w:sz w:val="21"/>
                <w:szCs w:val="21"/>
                <w:u w:val="none"/>
                <w:lang w:val="en-US" w:eastAsia="zh-CN" w:bidi="ar"/>
              </w:rPr>
              <w:t>23.73</w:t>
            </w:r>
          </w:p>
        </w:tc>
        <w:tc>
          <w:tcPr>
            <w:tcW w:w="22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val="en-US"/>
              </w:rPr>
            </w:pPr>
            <w:r>
              <w:rPr>
                <w:rFonts w:hint="eastAsia" w:ascii="仿宋" w:hAnsi="仿宋" w:eastAsia="仿宋" w:cs="仿宋"/>
                <w:i w:val="0"/>
                <w:color w:val="000000"/>
                <w:kern w:val="0"/>
                <w:sz w:val="21"/>
                <w:szCs w:val="21"/>
                <w:u w:val="none"/>
                <w:lang w:val="en-US" w:eastAsia="zh-CN" w:bidi="ar"/>
              </w:rPr>
              <w:t>24</w:t>
            </w:r>
          </w:p>
        </w:tc>
        <w:tc>
          <w:tcPr>
            <w:tcW w:w="17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22.82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2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2、因公出国（境）费用</w:t>
            </w: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1"/>
                <w:szCs w:val="21"/>
                <w:u w:val="none"/>
              </w:rPr>
            </w:pPr>
          </w:p>
        </w:tc>
        <w:tc>
          <w:tcPr>
            <w:tcW w:w="22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1"/>
                <w:szCs w:val="21"/>
                <w:u w:val="none"/>
              </w:rPr>
            </w:pPr>
          </w:p>
        </w:tc>
        <w:tc>
          <w:tcPr>
            <w:tcW w:w="17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2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3、公务接待费</w:t>
            </w: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val="en-US"/>
              </w:rPr>
            </w:pPr>
            <w:r>
              <w:rPr>
                <w:rFonts w:hint="eastAsia" w:ascii="仿宋" w:hAnsi="仿宋" w:eastAsia="仿宋" w:cs="仿宋"/>
                <w:i w:val="0"/>
                <w:color w:val="000000"/>
                <w:kern w:val="0"/>
                <w:sz w:val="21"/>
                <w:szCs w:val="21"/>
                <w:u w:val="none"/>
                <w:lang w:val="en-US" w:eastAsia="zh-CN" w:bidi="ar"/>
              </w:rPr>
              <w:t>16.31</w:t>
            </w:r>
          </w:p>
        </w:tc>
        <w:tc>
          <w:tcPr>
            <w:tcW w:w="22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val="en-US"/>
              </w:rPr>
            </w:pPr>
            <w:r>
              <w:rPr>
                <w:rFonts w:hint="eastAsia" w:ascii="仿宋" w:hAnsi="仿宋" w:eastAsia="仿宋" w:cs="仿宋"/>
                <w:i w:val="0"/>
                <w:color w:val="000000"/>
                <w:kern w:val="0"/>
                <w:sz w:val="21"/>
                <w:szCs w:val="21"/>
                <w:u w:val="none"/>
                <w:lang w:val="en-US" w:eastAsia="zh-CN" w:bidi="ar"/>
              </w:rPr>
              <w:t>24.66</w:t>
            </w:r>
          </w:p>
        </w:tc>
        <w:tc>
          <w:tcPr>
            <w:tcW w:w="17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val="en-US"/>
              </w:rPr>
            </w:pPr>
            <w:r>
              <w:rPr>
                <w:rFonts w:hint="eastAsia" w:ascii="仿宋" w:hAnsi="仿宋" w:eastAsia="仿宋" w:cs="仿宋"/>
                <w:i w:val="0"/>
                <w:color w:val="000000"/>
                <w:kern w:val="0"/>
                <w:sz w:val="21"/>
                <w:szCs w:val="21"/>
                <w:u w:val="none"/>
                <w:lang w:val="en-US" w:eastAsia="zh-CN" w:bidi="ar"/>
              </w:rPr>
              <w:t>7.21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2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项目支出</w:t>
            </w: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651</w:t>
            </w:r>
          </w:p>
        </w:tc>
        <w:tc>
          <w:tcPr>
            <w:tcW w:w="22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lang w:val="en-US"/>
              </w:rPr>
            </w:pPr>
            <w:r>
              <w:rPr>
                <w:rFonts w:hint="eastAsia" w:ascii="仿宋" w:hAnsi="仿宋" w:eastAsia="仿宋" w:cs="仿宋"/>
                <w:b/>
                <w:i w:val="0"/>
                <w:color w:val="000000"/>
                <w:kern w:val="0"/>
                <w:sz w:val="21"/>
                <w:szCs w:val="21"/>
                <w:u w:val="none"/>
                <w:lang w:val="en-US" w:eastAsia="zh-CN" w:bidi="ar"/>
              </w:rPr>
              <w:t>2060.08</w:t>
            </w:r>
          </w:p>
        </w:tc>
        <w:tc>
          <w:tcPr>
            <w:tcW w:w="17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2060.08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2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1、一般公共服务支出</w:t>
            </w: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lang w:val="en-US"/>
              </w:rPr>
            </w:pPr>
            <w:r>
              <w:rPr>
                <w:rFonts w:hint="eastAsia" w:ascii="仿宋" w:hAnsi="仿宋" w:eastAsia="仿宋" w:cs="仿宋"/>
                <w:b/>
                <w:i w:val="0"/>
                <w:color w:val="000000"/>
                <w:kern w:val="0"/>
                <w:sz w:val="21"/>
                <w:szCs w:val="21"/>
                <w:u w:val="none"/>
                <w:lang w:val="en-US" w:eastAsia="zh-CN" w:bidi="ar"/>
              </w:rPr>
              <w:t>44</w:t>
            </w:r>
          </w:p>
        </w:tc>
        <w:tc>
          <w:tcPr>
            <w:tcW w:w="22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lang w:val="en-US"/>
              </w:rPr>
            </w:pPr>
            <w:r>
              <w:rPr>
                <w:rFonts w:hint="eastAsia" w:ascii="仿宋" w:hAnsi="仿宋" w:eastAsia="仿宋" w:cs="仿宋"/>
                <w:b/>
                <w:i w:val="0"/>
                <w:color w:val="000000"/>
                <w:kern w:val="0"/>
                <w:sz w:val="21"/>
                <w:szCs w:val="21"/>
                <w:u w:val="none"/>
                <w:lang w:val="en-US" w:eastAsia="zh-CN" w:bidi="ar"/>
              </w:rPr>
              <w:t>385.90</w:t>
            </w:r>
          </w:p>
        </w:tc>
        <w:tc>
          <w:tcPr>
            <w:tcW w:w="17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385.90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2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政府办公厅（室）及相关机构事务</w:t>
            </w: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val="en-US"/>
              </w:rPr>
            </w:pPr>
            <w:r>
              <w:rPr>
                <w:rFonts w:hint="eastAsia" w:ascii="仿宋" w:hAnsi="仿宋" w:eastAsia="仿宋" w:cs="仿宋"/>
                <w:i w:val="0"/>
                <w:color w:val="000000"/>
                <w:kern w:val="0"/>
                <w:sz w:val="21"/>
                <w:szCs w:val="21"/>
                <w:u w:val="none"/>
                <w:lang w:val="en-US" w:eastAsia="zh-CN" w:bidi="ar"/>
              </w:rPr>
              <w:t>44</w:t>
            </w:r>
          </w:p>
        </w:tc>
        <w:tc>
          <w:tcPr>
            <w:tcW w:w="22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val="en-US"/>
              </w:rPr>
            </w:pPr>
            <w:r>
              <w:rPr>
                <w:rFonts w:hint="eastAsia" w:ascii="仿宋" w:hAnsi="仿宋" w:eastAsia="仿宋" w:cs="仿宋"/>
                <w:i w:val="0"/>
                <w:color w:val="000000"/>
                <w:kern w:val="0"/>
                <w:sz w:val="21"/>
                <w:szCs w:val="21"/>
                <w:u w:val="none"/>
                <w:lang w:val="en-US" w:eastAsia="zh-CN" w:bidi="ar"/>
              </w:rPr>
              <w:t>31.06</w:t>
            </w:r>
          </w:p>
        </w:tc>
        <w:tc>
          <w:tcPr>
            <w:tcW w:w="17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31.06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2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招商引资</w:t>
            </w: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val="en-US"/>
              </w:rPr>
            </w:pPr>
            <w:r>
              <w:rPr>
                <w:rFonts w:hint="eastAsia" w:ascii="仿宋" w:hAnsi="仿宋" w:eastAsia="仿宋" w:cs="仿宋"/>
                <w:i w:val="0"/>
                <w:color w:val="000000"/>
                <w:kern w:val="0"/>
                <w:sz w:val="21"/>
                <w:szCs w:val="21"/>
                <w:u w:val="none"/>
                <w:lang w:val="en-US" w:eastAsia="zh-CN" w:bidi="ar"/>
              </w:rPr>
              <w:t>459.04</w:t>
            </w:r>
          </w:p>
        </w:tc>
        <w:tc>
          <w:tcPr>
            <w:tcW w:w="22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151.63</w:t>
            </w:r>
          </w:p>
        </w:tc>
        <w:tc>
          <w:tcPr>
            <w:tcW w:w="17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1"/>
                <w:szCs w:val="21"/>
                <w:u w:val="none"/>
                <w:lang w:val="en-US"/>
              </w:rPr>
            </w:pPr>
            <w:r>
              <w:rPr>
                <w:rFonts w:hint="eastAsia" w:ascii="仿宋" w:hAnsi="仿宋" w:eastAsia="仿宋" w:cs="仿宋"/>
                <w:i w:val="0"/>
                <w:color w:val="000000"/>
                <w:sz w:val="21"/>
                <w:szCs w:val="21"/>
                <w:u w:val="none"/>
                <w:lang w:val="en-US" w:eastAsia="zh-CN"/>
              </w:rPr>
              <w:t>151.63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2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其他商贸事务支出</w:t>
            </w: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val="en-US"/>
              </w:rPr>
            </w:pPr>
            <w:r>
              <w:rPr>
                <w:rFonts w:hint="eastAsia" w:ascii="仿宋" w:hAnsi="仿宋" w:eastAsia="仿宋" w:cs="仿宋"/>
                <w:i w:val="0"/>
                <w:color w:val="000000"/>
                <w:kern w:val="0"/>
                <w:sz w:val="21"/>
                <w:szCs w:val="21"/>
                <w:u w:val="none"/>
                <w:lang w:val="en-US" w:eastAsia="zh-CN" w:bidi="ar"/>
              </w:rPr>
              <w:t>153.13</w:t>
            </w:r>
          </w:p>
        </w:tc>
        <w:tc>
          <w:tcPr>
            <w:tcW w:w="22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val="en-US"/>
              </w:rPr>
            </w:pPr>
            <w:r>
              <w:rPr>
                <w:rFonts w:hint="eastAsia" w:ascii="仿宋" w:hAnsi="仿宋" w:eastAsia="仿宋" w:cs="仿宋"/>
                <w:i w:val="0"/>
                <w:color w:val="000000"/>
                <w:kern w:val="0"/>
                <w:sz w:val="21"/>
                <w:szCs w:val="21"/>
                <w:u w:val="none"/>
                <w:lang w:val="en-US" w:eastAsia="zh-CN" w:bidi="ar"/>
              </w:rPr>
              <w:t>203.21</w:t>
            </w:r>
          </w:p>
        </w:tc>
        <w:tc>
          <w:tcPr>
            <w:tcW w:w="17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203.21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2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2、商业服务业等支出</w:t>
            </w: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153</w:t>
            </w:r>
          </w:p>
        </w:tc>
        <w:tc>
          <w:tcPr>
            <w:tcW w:w="22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lang w:val="en-US"/>
              </w:rPr>
            </w:pPr>
            <w:r>
              <w:rPr>
                <w:rFonts w:hint="eastAsia" w:ascii="仿宋" w:hAnsi="仿宋" w:eastAsia="仿宋" w:cs="仿宋"/>
                <w:b/>
                <w:i w:val="0"/>
                <w:color w:val="000000"/>
                <w:kern w:val="0"/>
                <w:sz w:val="21"/>
                <w:szCs w:val="21"/>
                <w:u w:val="none"/>
                <w:lang w:val="en-US" w:eastAsia="zh-CN" w:bidi="ar"/>
              </w:rPr>
              <w:t>1673</w:t>
            </w:r>
          </w:p>
        </w:tc>
        <w:tc>
          <w:tcPr>
            <w:tcW w:w="17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1673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trPr>
        <w:tc>
          <w:tcPr>
            <w:tcW w:w="2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其他商业流通事务支出</w:t>
            </w: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val="en-US"/>
              </w:rPr>
            </w:pPr>
            <w:r>
              <w:rPr>
                <w:rFonts w:hint="eastAsia" w:ascii="仿宋" w:hAnsi="仿宋" w:eastAsia="仿宋" w:cs="仿宋"/>
                <w:i w:val="0"/>
                <w:color w:val="000000"/>
                <w:kern w:val="0"/>
                <w:sz w:val="21"/>
                <w:szCs w:val="21"/>
                <w:u w:val="none"/>
                <w:lang w:val="en-US" w:eastAsia="zh-CN" w:bidi="ar"/>
              </w:rPr>
              <w:t>276.63</w:t>
            </w:r>
          </w:p>
        </w:tc>
        <w:tc>
          <w:tcPr>
            <w:tcW w:w="22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val="en-US"/>
              </w:rPr>
            </w:pPr>
            <w:r>
              <w:rPr>
                <w:rFonts w:hint="eastAsia" w:ascii="仿宋" w:hAnsi="仿宋" w:eastAsia="仿宋" w:cs="仿宋"/>
                <w:i w:val="0"/>
                <w:color w:val="000000"/>
                <w:kern w:val="0"/>
                <w:sz w:val="21"/>
                <w:szCs w:val="21"/>
                <w:u w:val="none"/>
                <w:lang w:val="en-US" w:eastAsia="zh-CN" w:bidi="ar"/>
              </w:rPr>
              <w:t>1606.06</w:t>
            </w:r>
          </w:p>
        </w:tc>
        <w:tc>
          <w:tcPr>
            <w:tcW w:w="17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1606.06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2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其他涉外发展服务支出</w:t>
            </w: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val="en-US"/>
              </w:rPr>
            </w:pPr>
            <w:r>
              <w:rPr>
                <w:rFonts w:hint="eastAsia" w:ascii="仿宋" w:hAnsi="仿宋" w:eastAsia="仿宋" w:cs="仿宋"/>
                <w:i w:val="0"/>
                <w:color w:val="000000"/>
                <w:kern w:val="0"/>
                <w:sz w:val="21"/>
                <w:szCs w:val="21"/>
                <w:u w:val="none"/>
                <w:lang w:val="en-US" w:eastAsia="zh-CN" w:bidi="ar"/>
              </w:rPr>
              <w:t>18.5</w:t>
            </w:r>
          </w:p>
        </w:tc>
        <w:tc>
          <w:tcPr>
            <w:tcW w:w="22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val="en-US"/>
              </w:rPr>
            </w:pPr>
            <w:r>
              <w:rPr>
                <w:rFonts w:hint="eastAsia" w:ascii="仿宋" w:hAnsi="仿宋" w:eastAsia="仿宋" w:cs="仿宋"/>
                <w:i w:val="0"/>
                <w:color w:val="000000"/>
                <w:kern w:val="0"/>
                <w:sz w:val="21"/>
                <w:szCs w:val="21"/>
                <w:u w:val="none"/>
                <w:lang w:val="en-US" w:eastAsia="zh-CN" w:bidi="ar"/>
              </w:rPr>
              <w:t>66.94</w:t>
            </w:r>
          </w:p>
        </w:tc>
        <w:tc>
          <w:tcPr>
            <w:tcW w:w="17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66.94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3、其他支出</w:t>
            </w: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0</w:t>
            </w:r>
          </w:p>
        </w:tc>
        <w:tc>
          <w:tcPr>
            <w:tcW w:w="22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lang w:val="en-US"/>
              </w:rPr>
            </w:pPr>
            <w:r>
              <w:rPr>
                <w:rFonts w:hint="eastAsia" w:ascii="仿宋" w:hAnsi="仿宋" w:eastAsia="仿宋" w:cs="仿宋"/>
                <w:b/>
                <w:i w:val="0"/>
                <w:color w:val="000000"/>
                <w:kern w:val="0"/>
                <w:sz w:val="21"/>
                <w:szCs w:val="21"/>
                <w:u w:val="none"/>
                <w:lang w:val="en-US" w:eastAsia="zh-CN" w:bidi="ar"/>
              </w:rPr>
              <w:t>1.18</w:t>
            </w:r>
          </w:p>
        </w:tc>
        <w:tc>
          <w:tcPr>
            <w:tcW w:w="17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lang w:val="en-US"/>
              </w:rPr>
            </w:pPr>
            <w:r>
              <w:rPr>
                <w:rFonts w:hint="eastAsia" w:ascii="仿宋" w:hAnsi="仿宋" w:eastAsia="仿宋" w:cs="仿宋"/>
                <w:b/>
                <w:i w:val="0"/>
                <w:color w:val="000000"/>
                <w:kern w:val="0"/>
                <w:sz w:val="21"/>
                <w:szCs w:val="21"/>
                <w:u w:val="none"/>
                <w:lang w:val="en-US" w:eastAsia="zh-CN" w:bidi="ar"/>
              </w:rPr>
              <w:t>1.18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2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其中：其他支出</w:t>
            </w: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0</w:t>
            </w:r>
          </w:p>
        </w:tc>
        <w:tc>
          <w:tcPr>
            <w:tcW w:w="22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1.18</w:t>
            </w:r>
          </w:p>
        </w:tc>
        <w:tc>
          <w:tcPr>
            <w:tcW w:w="17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1.18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2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公用经费</w:t>
            </w: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lang w:val="en-US"/>
              </w:rPr>
            </w:pPr>
            <w:r>
              <w:rPr>
                <w:rFonts w:hint="eastAsia" w:ascii="仿宋" w:hAnsi="仿宋" w:eastAsia="仿宋" w:cs="仿宋"/>
                <w:b/>
                <w:i w:val="0"/>
                <w:color w:val="000000"/>
                <w:kern w:val="0"/>
                <w:sz w:val="21"/>
                <w:szCs w:val="21"/>
                <w:u w:val="none"/>
                <w:lang w:val="en-US" w:eastAsia="zh-CN" w:bidi="ar"/>
              </w:rPr>
              <w:t>346.5</w:t>
            </w:r>
          </w:p>
        </w:tc>
        <w:tc>
          <w:tcPr>
            <w:tcW w:w="22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lang w:val="en-US"/>
              </w:rPr>
            </w:pPr>
            <w:r>
              <w:rPr>
                <w:rFonts w:hint="eastAsia" w:ascii="仿宋" w:hAnsi="仿宋" w:eastAsia="仿宋" w:cs="仿宋"/>
                <w:b/>
                <w:i w:val="0"/>
                <w:color w:val="000000"/>
                <w:kern w:val="0"/>
                <w:sz w:val="21"/>
                <w:szCs w:val="21"/>
                <w:u w:val="none"/>
                <w:lang w:val="en-US" w:eastAsia="zh-CN" w:bidi="ar"/>
              </w:rPr>
              <w:t>349.83</w:t>
            </w:r>
          </w:p>
        </w:tc>
        <w:tc>
          <w:tcPr>
            <w:tcW w:w="17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lang w:val="en-US"/>
              </w:rPr>
            </w:pPr>
            <w:r>
              <w:rPr>
                <w:rFonts w:hint="eastAsia" w:ascii="仿宋" w:hAnsi="仿宋" w:eastAsia="仿宋" w:cs="仿宋"/>
                <w:b/>
                <w:i w:val="0"/>
                <w:color w:val="000000"/>
                <w:kern w:val="0"/>
                <w:sz w:val="21"/>
                <w:szCs w:val="21"/>
                <w:u w:val="none"/>
                <w:lang w:val="en-US" w:eastAsia="zh-CN" w:bidi="ar"/>
              </w:rPr>
              <w:t>341.13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2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其中：办公费</w:t>
            </w: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val="en-US"/>
              </w:rPr>
            </w:pPr>
            <w:r>
              <w:rPr>
                <w:rFonts w:hint="eastAsia" w:ascii="仿宋" w:hAnsi="仿宋" w:eastAsia="仿宋" w:cs="仿宋"/>
                <w:i w:val="0"/>
                <w:color w:val="000000"/>
                <w:kern w:val="0"/>
                <w:sz w:val="21"/>
                <w:szCs w:val="21"/>
                <w:u w:val="none"/>
                <w:lang w:val="en-US" w:eastAsia="zh-CN" w:bidi="ar"/>
              </w:rPr>
              <w:t>14.4</w:t>
            </w:r>
          </w:p>
        </w:tc>
        <w:tc>
          <w:tcPr>
            <w:tcW w:w="22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1"/>
                <w:szCs w:val="21"/>
                <w:u w:val="none"/>
              </w:rPr>
            </w:pPr>
          </w:p>
        </w:tc>
        <w:tc>
          <w:tcPr>
            <w:tcW w:w="17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12.12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2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手续费</w:t>
            </w: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val="en-US"/>
              </w:rPr>
            </w:pPr>
            <w:r>
              <w:rPr>
                <w:rFonts w:hint="eastAsia" w:ascii="仿宋" w:hAnsi="仿宋" w:eastAsia="仿宋" w:cs="仿宋"/>
                <w:i w:val="0"/>
                <w:color w:val="000000"/>
                <w:kern w:val="0"/>
                <w:sz w:val="21"/>
                <w:szCs w:val="21"/>
                <w:u w:val="none"/>
                <w:lang w:val="en-US" w:eastAsia="zh-CN" w:bidi="ar"/>
              </w:rPr>
              <w:t>0.3</w:t>
            </w:r>
          </w:p>
        </w:tc>
        <w:tc>
          <w:tcPr>
            <w:tcW w:w="22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1"/>
                <w:szCs w:val="21"/>
                <w:u w:val="none"/>
              </w:rPr>
            </w:pPr>
          </w:p>
        </w:tc>
        <w:tc>
          <w:tcPr>
            <w:tcW w:w="17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2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水电费</w:t>
            </w: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14.5</w:t>
            </w:r>
          </w:p>
        </w:tc>
        <w:tc>
          <w:tcPr>
            <w:tcW w:w="22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1"/>
                <w:szCs w:val="21"/>
                <w:u w:val="none"/>
              </w:rPr>
            </w:pPr>
          </w:p>
        </w:tc>
        <w:tc>
          <w:tcPr>
            <w:tcW w:w="17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11.34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2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邮电费</w:t>
            </w: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1.5</w:t>
            </w:r>
          </w:p>
        </w:tc>
        <w:tc>
          <w:tcPr>
            <w:tcW w:w="22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1"/>
                <w:szCs w:val="21"/>
                <w:u w:val="none"/>
              </w:rPr>
            </w:pPr>
          </w:p>
        </w:tc>
        <w:tc>
          <w:tcPr>
            <w:tcW w:w="17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0.74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2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物业管理费</w:t>
            </w: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val="en-US"/>
              </w:rPr>
            </w:pPr>
            <w:r>
              <w:rPr>
                <w:rFonts w:hint="eastAsia" w:ascii="仿宋" w:hAnsi="仿宋" w:eastAsia="仿宋" w:cs="仿宋"/>
                <w:i w:val="0"/>
                <w:color w:val="000000"/>
                <w:kern w:val="0"/>
                <w:sz w:val="21"/>
                <w:szCs w:val="21"/>
                <w:u w:val="none"/>
                <w:lang w:val="en-US" w:eastAsia="zh-CN" w:bidi="ar"/>
              </w:rPr>
              <w:t>13.7</w:t>
            </w:r>
          </w:p>
        </w:tc>
        <w:tc>
          <w:tcPr>
            <w:tcW w:w="22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1"/>
                <w:szCs w:val="21"/>
                <w:u w:val="none"/>
              </w:rPr>
            </w:pPr>
          </w:p>
        </w:tc>
        <w:tc>
          <w:tcPr>
            <w:tcW w:w="17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3.41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2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差旅费</w:t>
            </w: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val="en-US"/>
              </w:rPr>
            </w:pPr>
            <w:r>
              <w:rPr>
                <w:rFonts w:hint="eastAsia" w:ascii="仿宋" w:hAnsi="仿宋" w:eastAsia="仿宋" w:cs="仿宋"/>
                <w:i w:val="0"/>
                <w:color w:val="000000"/>
                <w:kern w:val="0"/>
                <w:sz w:val="21"/>
                <w:szCs w:val="21"/>
                <w:u w:val="none"/>
                <w:lang w:val="en-US" w:eastAsia="zh-CN" w:bidi="ar"/>
              </w:rPr>
              <w:t>8.5</w:t>
            </w:r>
          </w:p>
        </w:tc>
        <w:tc>
          <w:tcPr>
            <w:tcW w:w="22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1"/>
                <w:szCs w:val="21"/>
                <w:u w:val="none"/>
              </w:rPr>
            </w:pPr>
          </w:p>
        </w:tc>
        <w:tc>
          <w:tcPr>
            <w:tcW w:w="17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 xml:space="preserve">11.93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2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维修（护）费</w:t>
            </w: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val="en-US"/>
              </w:rPr>
            </w:pPr>
            <w:r>
              <w:rPr>
                <w:rFonts w:hint="eastAsia" w:ascii="仿宋" w:hAnsi="仿宋" w:eastAsia="仿宋" w:cs="仿宋"/>
                <w:i w:val="0"/>
                <w:color w:val="000000"/>
                <w:kern w:val="0"/>
                <w:sz w:val="21"/>
                <w:szCs w:val="21"/>
                <w:u w:val="none"/>
                <w:lang w:val="en-US" w:eastAsia="zh-CN" w:bidi="ar"/>
              </w:rPr>
              <w:t>42.5</w:t>
            </w:r>
          </w:p>
        </w:tc>
        <w:tc>
          <w:tcPr>
            <w:tcW w:w="22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1"/>
                <w:szCs w:val="21"/>
                <w:u w:val="none"/>
              </w:rPr>
            </w:pPr>
          </w:p>
        </w:tc>
        <w:tc>
          <w:tcPr>
            <w:tcW w:w="17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50.1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2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培训费</w:t>
            </w: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val="en-US"/>
              </w:rPr>
            </w:pPr>
            <w:r>
              <w:rPr>
                <w:rFonts w:hint="eastAsia" w:ascii="仿宋" w:hAnsi="仿宋" w:eastAsia="仿宋" w:cs="仿宋"/>
                <w:i w:val="0"/>
                <w:color w:val="000000"/>
                <w:kern w:val="0"/>
                <w:sz w:val="21"/>
                <w:szCs w:val="21"/>
                <w:u w:val="none"/>
                <w:lang w:val="en-US" w:eastAsia="zh-CN" w:bidi="ar"/>
              </w:rPr>
              <w:t>4.1</w:t>
            </w:r>
          </w:p>
        </w:tc>
        <w:tc>
          <w:tcPr>
            <w:tcW w:w="22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1"/>
                <w:szCs w:val="21"/>
                <w:u w:val="none"/>
              </w:rPr>
            </w:pPr>
          </w:p>
        </w:tc>
        <w:tc>
          <w:tcPr>
            <w:tcW w:w="17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2.12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2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公务接待费</w:t>
            </w: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val="en-US"/>
              </w:rPr>
            </w:pPr>
            <w:r>
              <w:rPr>
                <w:rFonts w:hint="eastAsia" w:ascii="仿宋" w:hAnsi="仿宋" w:eastAsia="仿宋" w:cs="仿宋"/>
                <w:i w:val="0"/>
                <w:color w:val="000000"/>
                <w:kern w:val="0"/>
                <w:sz w:val="21"/>
                <w:szCs w:val="21"/>
                <w:u w:val="none"/>
                <w:lang w:val="en-US" w:eastAsia="zh-CN" w:bidi="ar"/>
              </w:rPr>
              <w:t>0.2</w:t>
            </w:r>
          </w:p>
        </w:tc>
        <w:tc>
          <w:tcPr>
            <w:tcW w:w="22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1"/>
                <w:szCs w:val="21"/>
                <w:u w:val="none"/>
              </w:rPr>
            </w:pPr>
          </w:p>
        </w:tc>
        <w:tc>
          <w:tcPr>
            <w:tcW w:w="17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2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劳务费</w:t>
            </w: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val="en-US"/>
              </w:rPr>
            </w:pPr>
            <w:r>
              <w:rPr>
                <w:rFonts w:hint="eastAsia" w:ascii="仿宋" w:hAnsi="仿宋" w:eastAsia="仿宋" w:cs="仿宋"/>
                <w:i w:val="0"/>
                <w:color w:val="000000"/>
                <w:kern w:val="0"/>
                <w:sz w:val="21"/>
                <w:szCs w:val="21"/>
                <w:u w:val="none"/>
                <w:lang w:val="en-US" w:eastAsia="zh-CN" w:bidi="ar"/>
              </w:rPr>
              <w:t>11</w:t>
            </w:r>
          </w:p>
        </w:tc>
        <w:tc>
          <w:tcPr>
            <w:tcW w:w="22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1"/>
                <w:szCs w:val="21"/>
                <w:u w:val="none"/>
              </w:rPr>
            </w:pPr>
          </w:p>
        </w:tc>
        <w:tc>
          <w:tcPr>
            <w:tcW w:w="17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18.3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2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工会经费</w:t>
            </w: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val="en-US"/>
              </w:rPr>
            </w:pPr>
            <w:r>
              <w:rPr>
                <w:rFonts w:hint="eastAsia" w:ascii="仿宋" w:hAnsi="仿宋" w:eastAsia="仿宋" w:cs="仿宋"/>
                <w:i w:val="0"/>
                <w:color w:val="000000"/>
                <w:kern w:val="0"/>
                <w:sz w:val="21"/>
                <w:szCs w:val="21"/>
                <w:u w:val="none"/>
                <w:lang w:val="en-US" w:eastAsia="zh-CN" w:bidi="ar"/>
              </w:rPr>
              <w:t>26.5</w:t>
            </w:r>
          </w:p>
        </w:tc>
        <w:tc>
          <w:tcPr>
            <w:tcW w:w="22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1"/>
                <w:szCs w:val="21"/>
                <w:u w:val="none"/>
              </w:rPr>
            </w:pPr>
          </w:p>
        </w:tc>
        <w:tc>
          <w:tcPr>
            <w:tcW w:w="17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27.02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2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福利费</w:t>
            </w: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val="en-US"/>
              </w:rPr>
            </w:pPr>
            <w:r>
              <w:rPr>
                <w:rFonts w:hint="eastAsia" w:ascii="仿宋" w:hAnsi="仿宋" w:eastAsia="仿宋" w:cs="仿宋"/>
                <w:i w:val="0"/>
                <w:color w:val="000000"/>
                <w:kern w:val="0"/>
                <w:sz w:val="21"/>
                <w:szCs w:val="21"/>
                <w:u w:val="none"/>
                <w:lang w:val="en-US" w:eastAsia="zh-CN" w:bidi="ar"/>
              </w:rPr>
              <w:t>46.5</w:t>
            </w:r>
          </w:p>
        </w:tc>
        <w:tc>
          <w:tcPr>
            <w:tcW w:w="22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1"/>
                <w:szCs w:val="21"/>
                <w:u w:val="none"/>
              </w:rPr>
            </w:pPr>
          </w:p>
        </w:tc>
        <w:tc>
          <w:tcPr>
            <w:tcW w:w="17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33.96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2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公务用车运行维护费</w:t>
            </w: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0</w:t>
            </w:r>
          </w:p>
        </w:tc>
        <w:tc>
          <w:tcPr>
            <w:tcW w:w="22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1"/>
                <w:szCs w:val="21"/>
                <w:u w:val="none"/>
              </w:rPr>
            </w:pPr>
          </w:p>
        </w:tc>
        <w:tc>
          <w:tcPr>
            <w:tcW w:w="17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2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其他交通费用</w:t>
            </w: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val="en-US"/>
              </w:rPr>
            </w:pPr>
            <w:r>
              <w:rPr>
                <w:rFonts w:hint="eastAsia" w:ascii="仿宋" w:hAnsi="仿宋" w:eastAsia="仿宋" w:cs="仿宋"/>
                <w:i w:val="0"/>
                <w:color w:val="000000"/>
                <w:kern w:val="0"/>
                <w:sz w:val="21"/>
                <w:szCs w:val="21"/>
                <w:u w:val="none"/>
                <w:lang w:val="en-US" w:eastAsia="zh-CN" w:bidi="ar"/>
              </w:rPr>
              <w:t>50.1</w:t>
            </w:r>
          </w:p>
        </w:tc>
        <w:tc>
          <w:tcPr>
            <w:tcW w:w="22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1"/>
                <w:szCs w:val="21"/>
                <w:u w:val="none"/>
              </w:rPr>
            </w:pPr>
          </w:p>
        </w:tc>
        <w:tc>
          <w:tcPr>
            <w:tcW w:w="17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51.22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2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税金及附加费用</w:t>
            </w: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0</w:t>
            </w:r>
          </w:p>
        </w:tc>
        <w:tc>
          <w:tcPr>
            <w:tcW w:w="22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1"/>
                <w:szCs w:val="21"/>
                <w:u w:val="none"/>
              </w:rPr>
            </w:pPr>
          </w:p>
        </w:tc>
        <w:tc>
          <w:tcPr>
            <w:tcW w:w="17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2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其他商品和服务支出</w:t>
            </w: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val="en-US"/>
              </w:rPr>
            </w:pPr>
            <w:r>
              <w:rPr>
                <w:rFonts w:hint="eastAsia" w:ascii="仿宋" w:hAnsi="仿宋" w:eastAsia="仿宋" w:cs="仿宋"/>
                <w:i w:val="0"/>
                <w:color w:val="000000"/>
                <w:kern w:val="0"/>
                <w:sz w:val="21"/>
                <w:szCs w:val="21"/>
                <w:u w:val="none"/>
                <w:lang w:val="en-US" w:eastAsia="zh-CN" w:bidi="ar"/>
              </w:rPr>
              <w:t>75.2</w:t>
            </w:r>
          </w:p>
        </w:tc>
        <w:tc>
          <w:tcPr>
            <w:tcW w:w="22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1"/>
                <w:szCs w:val="21"/>
                <w:u w:val="none"/>
              </w:rPr>
            </w:pPr>
          </w:p>
        </w:tc>
        <w:tc>
          <w:tcPr>
            <w:tcW w:w="17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94.4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2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资本性支出</w:t>
            </w: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val="en-US"/>
              </w:rPr>
            </w:pPr>
            <w:r>
              <w:rPr>
                <w:rFonts w:hint="eastAsia" w:ascii="仿宋" w:hAnsi="仿宋" w:eastAsia="仿宋" w:cs="仿宋"/>
                <w:i w:val="0"/>
                <w:color w:val="000000"/>
                <w:kern w:val="0"/>
                <w:sz w:val="21"/>
                <w:szCs w:val="21"/>
                <w:u w:val="none"/>
                <w:lang w:val="en-US" w:eastAsia="zh-CN" w:bidi="ar"/>
              </w:rPr>
              <w:t>37.5</w:t>
            </w:r>
          </w:p>
        </w:tc>
        <w:tc>
          <w:tcPr>
            <w:tcW w:w="22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1"/>
                <w:szCs w:val="21"/>
                <w:u w:val="none"/>
              </w:rPr>
            </w:pPr>
          </w:p>
        </w:tc>
        <w:tc>
          <w:tcPr>
            <w:tcW w:w="17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22.46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2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政府采购金额</w:t>
            </w: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lang w:val="en-US"/>
              </w:rPr>
            </w:pPr>
            <w:r>
              <w:rPr>
                <w:rFonts w:hint="eastAsia" w:ascii="仿宋" w:hAnsi="仿宋" w:eastAsia="仿宋" w:cs="仿宋"/>
                <w:b/>
                <w:i w:val="0"/>
                <w:color w:val="000000"/>
                <w:kern w:val="0"/>
                <w:sz w:val="21"/>
                <w:szCs w:val="21"/>
                <w:u w:val="none"/>
                <w:lang w:val="en-US" w:eastAsia="zh-CN" w:bidi="ar"/>
              </w:rPr>
              <w:t>189</w:t>
            </w:r>
          </w:p>
        </w:tc>
        <w:tc>
          <w:tcPr>
            <w:tcW w:w="22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lang w:val="en-US"/>
              </w:rPr>
            </w:pPr>
            <w:r>
              <w:rPr>
                <w:rFonts w:hint="eastAsia" w:ascii="仿宋" w:hAnsi="仿宋" w:eastAsia="仿宋" w:cs="仿宋"/>
                <w:b/>
                <w:i w:val="0"/>
                <w:color w:val="000000"/>
                <w:kern w:val="0"/>
                <w:sz w:val="21"/>
                <w:szCs w:val="21"/>
                <w:u w:val="none"/>
                <w:lang w:val="en-US" w:eastAsia="zh-CN" w:bidi="ar"/>
              </w:rPr>
              <w:t>105.99</w:t>
            </w:r>
          </w:p>
        </w:tc>
        <w:tc>
          <w:tcPr>
            <w:tcW w:w="17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lang w:val="en-US"/>
              </w:rPr>
            </w:pPr>
            <w:r>
              <w:rPr>
                <w:rFonts w:hint="eastAsia" w:ascii="仿宋" w:hAnsi="仿宋" w:eastAsia="仿宋" w:cs="仿宋"/>
                <w:b/>
                <w:i w:val="0"/>
                <w:color w:val="000000"/>
                <w:kern w:val="0"/>
                <w:sz w:val="21"/>
                <w:szCs w:val="21"/>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2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部门基本支出预算调整</w:t>
            </w: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lang w:val="en-US"/>
              </w:rPr>
            </w:pPr>
            <w:r>
              <w:rPr>
                <w:rFonts w:hint="eastAsia" w:ascii="仿宋" w:hAnsi="仿宋" w:eastAsia="仿宋" w:cs="仿宋"/>
                <w:b/>
                <w:i w:val="0"/>
                <w:color w:val="000000"/>
                <w:kern w:val="0"/>
                <w:sz w:val="21"/>
                <w:szCs w:val="21"/>
                <w:u w:val="none"/>
                <w:lang w:val="en-US" w:eastAsia="zh-CN" w:bidi="ar"/>
              </w:rPr>
              <w:t>1865.25</w:t>
            </w:r>
          </w:p>
        </w:tc>
        <w:tc>
          <w:tcPr>
            <w:tcW w:w="22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lang w:val="en-US"/>
              </w:rPr>
            </w:pPr>
            <w:r>
              <w:rPr>
                <w:rFonts w:hint="eastAsia" w:ascii="仿宋" w:hAnsi="仿宋" w:eastAsia="仿宋" w:cs="仿宋"/>
                <w:b/>
                <w:i w:val="0"/>
                <w:color w:val="000000"/>
                <w:kern w:val="0"/>
                <w:sz w:val="21"/>
                <w:szCs w:val="21"/>
                <w:u w:val="none"/>
                <w:lang w:val="en-US" w:eastAsia="zh-CN" w:bidi="ar"/>
              </w:rPr>
              <w:t>2423.65</w:t>
            </w:r>
          </w:p>
        </w:tc>
        <w:tc>
          <w:tcPr>
            <w:tcW w:w="17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lang w:val="en-US"/>
              </w:rPr>
            </w:pPr>
            <w:r>
              <w:rPr>
                <w:rFonts w:hint="eastAsia" w:ascii="仿宋" w:hAnsi="仿宋" w:eastAsia="仿宋" w:cs="仿宋"/>
                <w:b/>
                <w:i w:val="0"/>
                <w:color w:val="000000"/>
                <w:kern w:val="0"/>
                <w:sz w:val="21"/>
                <w:szCs w:val="21"/>
                <w:u w:val="none"/>
                <w:lang w:val="en-US" w:eastAsia="zh-CN" w:bidi="ar"/>
              </w:rPr>
              <w:t>2423.65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2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楼堂馆所控制情况</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批复规模</w:t>
            </w:r>
          </w:p>
        </w:tc>
        <w:tc>
          <w:tcPr>
            <w:tcW w:w="8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实际规模（㎡）</w:t>
            </w:r>
          </w:p>
        </w:tc>
        <w:tc>
          <w:tcPr>
            <w:tcW w:w="8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规模控制率</w:t>
            </w:r>
          </w:p>
        </w:tc>
        <w:tc>
          <w:tcPr>
            <w:tcW w:w="13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预算投资（万元）</w:t>
            </w:r>
          </w:p>
        </w:tc>
        <w:tc>
          <w:tcPr>
            <w:tcW w:w="8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实际投资（万元）</w:t>
            </w:r>
          </w:p>
        </w:tc>
        <w:tc>
          <w:tcPr>
            <w:tcW w:w="8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投资概算控制率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（2020年完工项目）</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1"/>
                <w:szCs w:val="21"/>
                <w:u w:val="none"/>
              </w:rPr>
            </w:pPr>
          </w:p>
        </w:tc>
        <w:tc>
          <w:tcPr>
            <w:tcW w:w="8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1"/>
                <w:szCs w:val="21"/>
                <w:u w:val="none"/>
              </w:rPr>
            </w:pPr>
          </w:p>
        </w:tc>
        <w:tc>
          <w:tcPr>
            <w:tcW w:w="13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1"/>
                <w:szCs w:val="21"/>
                <w:u w:val="none"/>
              </w:rPr>
            </w:pP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1"/>
                <w:szCs w:val="21"/>
                <w:u w:val="none"/>
              </w:rPr>
            </w:pPr>
          </w:p>
        </w:tc>
        <w:tc>
          <w:tcPr>
            <w:tcW w:w="8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color w:val="000000"/>
                <w:sz w:val="21"/>
                <w:szCs w:val="21"/>
                <w:u w:val="none"/>
              </w:rPr>
            </w:pP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无</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无　</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无</w:t>
            </w:r>
          </w:p>
        </w:tc>
        <w:tc>
          <w:tcPr>
            <w:tcW w:w="1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无</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无</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4" w:hRule="atLeast"/>
        </w:trPr>
        <w:tc>
          <w:tcPr>
            <w:tcW w:w="2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厉行节约保障措施</w:t>
            </w:r>
          </w:p>
        </w:tc>
        <w:tc>
          <w:tcPr>
            <w:tcW w:w="583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湘西自治州商务局厉行节约管理制度（节约用水用电、加强公车管理、从严控制各项费用开支）</w:t>
            </w:r>
          </w:p>
        </w:tc>
      </w:tr>
    </w:tbl>
    <w:p>
      <w:pPr>
        <w:pStyle w:val="8"/>
        <w:rPr>
          <w:rFonts w:hint="eastAsia" w:ascii="仿宋" w:hAnsi="仿宋" w:eastAsia="仿宋" w:cs="仿宋"/>
          <w:sz w:val="21"/>
          <w:szCs w:val="21"/>
        </w:rPr>
      </w:pPr>
    </w:p>
    <w:p>
      <w:pPr>
        <w:pStyle w:val="8"/>
        <w:rPr>
          <w:rFonts w:hint="eastAsia" w:ascii="仿宋" w:hAnsi="仿宋" w:eastAsia="仿宋" w:cs="仿宋"/>
          <w:sz w:val="21"/>
          <w:szCs w:val="21"/>
        </w:rPr>
      </w:pPr>
      <w:r>
        <w:rPr>
          <w:rFonts w:hint="eastAsia" w:ascii="仿宋" w:hAnsi="仿宋" w:eastAsia="仿宋" w:cs="仿宋"/>
          <w:sz w:val="21"/>
          <w:szCs w:val="21"/>
        </w:rPr>
        <w:t>说明：项目支出需要填报除基本支出以外的所有项目支出情况，公用经费填报基本支出中的一般商品和服务支出。</w:t>
      </w:r>
    </w:p>
    <w:p>
      <w:pPr>
        <w:pStyle w:val="7"/>
        <w:ind w:left="0" w:leftChars="0" w:firstLine="0" w:firstLineChars="0"/>
        <w:rPr>
          <w:rFonts w:hint="eastAsia" w:ascii="仿宋" w:hAnsi="仿宋" w:eastAsia="仿宋" w:cs="仿宋"/>
          <w:sz w:val="21"/>
          <w:szCs w:val="21"/>
        </w:rPr>
      </w:pPr>
    </w:p>
    <w:p>
      <w:pPr>
        <w:pStyle w:val="7"/>
        <w:ind w:left="0" w:leftChars="0" w:firstLine="0" w:firstLineChars="0"/>
        <w:rPr>
          <w:rFonts w:hint="eastAsia" w:ascii="仿宋" w:hAnsi="仿宋" w:eastAsia="仿宋" w:cs="仿宋"/>
          <w:sz w:val="21"/>
          <w:szCs w:val="21"/>
        </w:rPr>
      </w:pPr>
      <w:r>
        <w:rPr>
          <w:rFonts w:hint="eastAsia" w:ascii="仿宋" w:hAnsi="仿宋" w:eastAsia="仿宋" w:cs="仿宋"/>
          <w:sz w:val="21"/>
          <w:szCs w:val="21"/>
        </w:rPr>
        <w:t>单位负责人签字：杨凌</w:t>
      </w: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填表人</w:t>
      </w:r>
      <w:r>
        <w:rPr>
          <w:rFonts w:hint="eastAsia" w:ascii="仿宋" w:hAnsi="仿宋" w:eastAsia="仿宋" w:cs="仿宋"/>
          <w:sz w:val="21"/>
          <w:szCs w:val="21"/>
          <w:lang w:eastAsia="zh-CN"/>
        </w:rPr>
        <w:t>：</w:t>
      </w:r>
      <w:r>
        <w:rPr>
          <w:rFonts w:hint="eastAsia" w:ascii="仿宋" w:hAnsi="仿宋" w:eastAsia="仿宋" w:cs="仿宋"/>
          <w:sz w:val="21"/>
          <w:szCs w:val="21"/>
        </w:rPr>
        <w:t xml:space="preserve">彭艳  联系电话：8528269 </w:t>
      </w: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填报日期</w:t>
      </w:r>
      <w:r>
        <w:rPr>
          <w:rFonts w:hint="eastAsia" w:ascii="仿宋" w:hAnsi="仿宋" w:eastAsia="仿宋" w:cs="仿宋"/>
          <w:sz w:val="21"/>
          <w:szCs w:val="21"/>
          <w:lang w:eastAsia="zh-CN"/>
        </w:rPr>
        <w:t>：</w:t>
      </w:r>
      <w:r>
        <w:rPr>
          <w:rFonts w:hint="eastAsia" w:ascii="仿宋" w:hAnsi="仿宋" w:eastAsia="仿宋" w:cs="仿宋"/>
          <w:sz w:val="21"/>
          <w:szCs w:val="21"/>
        </w:rPr>
        <w:t>202</w:t>
      </w:r>
      <w:r>
        <w:rPr>
          <w:rFonts w:hint="eastAsia" w:ascii="仿宋" w:hAnsi="仿宋" w:eastAsia="仿宋" w:cs="仿宋"/>
          <w:sz w:val="21"/>
          <w:szCs w:val="21"/>
          <w:lang w:val="en-US" w:eastAsia="zh-CN"/>
        </w:rPr>
        <w:t>3</w:t>
      </w:r>
      <w:r>
        <w:rPr>
          <w:rFonts w:hint="eastAsia" w:ascii="仿宋" w:hAnsi="仿宋" w:eastAsia="仿宋" w:cs="仿宋"/>
          <w:sz w:val="21"/>
          <w:szCs w:val="21"/>
        </w:rPr>
        <w:t>年</w:t>
      </w:r>
      <w:r>
        <w:rPr>
          <w:rFonts w:hint="eastAsia" w:ascii="仿宋" w:hAnsi="仿宋" w:eastAsia="仿宋" w:cs="仿宋"/>
          <w:sz w:val="21"/>
          <w:szCs w:val="21"/>
          <w:lang w:val="en-US" w:eastAsia="zh-CN"/>
        </w:rPr>
        <w:t>6</w:t>
      </w:r>
      <w:r>
        <w:rPr>
          <w:rFonts w:hint="eastAsia" w:ascii="仿宋" w:hAnsi="仿宋" w:eastAsia="仿宋" w:cs="仿宋"/>
          <w:sz w:val="21"/>
          <w:szCs w:val="21"/>
        </w:rPr>
        <w:t>月</w:t>
      </w:r>
      <w:r>
        <w:rPr>
          <w:rFonts w:hint="eastAsia" w:ascii="仿宋" w:hAnsi="仿宋" w:eastAsia="仿宋" w:cs="仿宋"/>
          <w:sz w:val="21"/>
          <w:szCs w:val="21"/>
          <w:lang w:val="en-US" w:eastAsia="zh-CN"/>
        </w:rPr>
        <w:t>1</w:t>
      </w:r>
      <w:r>
        <w:rPr>
          <w:rFonts w:hint="eastAsia" w:ascii="仿宋" w:hAnsi="仿宋" w:eastAsia="仿宋" w:cs="仿宋"/>
          <w:sz w:val="21"/>
          <w:szCs w:val="21"/>
        </w:rPr>
        <w:t>日</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right="0"/>
        <w:jc w:val="both"/>
        <w:textAlignment w:val="center"/>
        <w:rPr>
          <w:rFonts w:hint="eastAsia" w:ascii="仿宋" w:hAnsi="仿宋" w:eastAsia="仿宋" w:cs="仿宋"/>
          <w:kern w:val="2"/>
          <w:sz w:val="21"/>
          <w:szCs w:val="21"/>
          <w:lang w:val="en-US" w:eastAsia="zh-CN" w:bidi="ar-SA"/>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5" w:beforeAutospacing="0" w:after="0" w:afterAutospacing="0" w:line="20" w:lineRule="atLeast"/>
        <w:ind w:left="0" w:right="0" w:firstLine="0"/>
        <w:jc w:val="left"/>
        <w:textAlignment w:val="center"/>
        <w:rPr>
          <w:rFonts w:hint="eastAsia" w:ascii="宋体" w:hAnsi="宋体" w:eastAsia="宋体" w:cs="宋体"/>
          <w:i w:val="0"/>
          <w:iCs w:val="0"/>
          <w:caps w:val="0"/>
          <w:color w:val="333333"/>
          <w:spacing w:val="0"/>
          <w:sz w:val="16"/>
          <w:szCs w:val="16"/>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5" w:beforeAutospacing="0" w:after="0" w:afterAutospacing="0" w:line="20" w:lineRule="atLeast"/>
        <w:ind w:left="0" w:right="0" w:firstLine="0"/>
        <w:jc w:val="left"/>
        <w:textAlignment w:val="center"/>
        <w:rPr>
          <w:rFonts w:hint="eastAsia" w:ascii="宋体" w:hAnsi="宋体" w:eastAsia="宋体" w:cs="宋体"/>
          <w:i w:val="0"/>
          <w:iCs w:val="0"/>
          <w:caps w:val="0"/>
          <w:color w:val="333333"/>
          <w:spacing w:val="0"/>
          <w:sz w:val="16"/>
          <w:szCs w:val="16"/>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5" w:beforeAutospacing="0" w:after="0" w:afterAutospacing="0" w:line="20" w:lineRule="atLeast"/>
        <w:ind w:left="0" w:right="0" w:firstLine="0"/>
        <w:jc w:val="left"/>
        <w:textAlignment w:val="center"/>
        <w:rPr>
          <w:rFonts w:hint="eastAsia" w:ascii="宋体" w:hAnsi="宋体" w:eastAsia="宋体" w:cs="宋体"/>
          <w:i w:val="0"/>
          <w:iCs w:val="0"/>
          <w:caps w:val="0"/>
          <w:color w:val="333333"/>
          <w:spacing w:val="0"/>
          <w:sz w:val="16"/>
          <w:szCs w:val="16"/>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5" w:beforeAutospacing="0" w:after="0" w:afterAutospacing="0" w:line="20" w:lineRule="atLeast"/>
        <w:ind w:left="0" w:right="0" w:firstLine="0"/>
        <w:jc w:val="left"/>
        <w:textAlignment w:val="center"/>
        <w:rPr>
          <w:rFonts w:hint="eastAsia" w:ascii="宋体" w:hAnsi="宋体" w:eastAsia="宋体" w:cs="宋体"/>
          <w:i w:val="0"/>
          <w:iCs w:val="0"/>
          <w:caps w:val="0"/>
          <w:color w:val="333333"/>
          <w:spacing w:val="0"/>
          <w:sz w:val="16"/>
          <w:szCs w:val="16"/>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5" w:beforeAutospacing="0" w:after="0" w:afterAutospacing="0" w:line="20" w:lineRule="atLeast"/>
        <w:ind w:left="0" w:right="0" w:firstLine="0"/>
        <w:jc w:val="left"/>
        <w:textAlignment w:val="center"/>
        <w:rPr>
          <w:rFonts w:hint="eastAsia" w:ascii="宋体" w:hAnsi="宋体" w:eastAsia="宋体" w:cs="宋体"/>
          <w:i w:val="0"/>
          <w:iCs w:val="0"/>
          <w:caps w:val="0"/>
          <w:color w:val="333333"/>
          <w:spacing w:val="0"/>
          <w:sz w:val="16"/>
          <w:szCs w:val="16"/>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5" w:beforeAutospacing="0" w:after="0" w:afterAutospacing="0" w:line="20" w:lineRule="atLeast"/>
        <w:ind w:left="0" w:right="0" w:firstLine="0"/>
        <w:jc w:val="left"/>
        <w:textAlignment w:val="center"/>
        <w:rPr>
          <w:rFonts w:hint="eastAsia" w:ascii="宋体" w:hAnsi="宋体" w:eastAsia="宋体" w:cs="宋体"/>
          <w:i w:val="0"/>
          <w:iCs w:val="0"/>
          <w:caps w:val="0"/>
          <w:color w:val="333333"/>
          <w:spacing w:val="0"/>
          <w:sz w:val="16"/>
          <w:szCs w:val="16"/>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5" w:beforeAutospacing="0" w:after="0" w:afterAutospacing="0" w:line="20" w:lineRule="atLeast"/>
        <w:ind w:left="0" w:right="0" w:firstLine="0"/>
        <w:jc w:val="left"/>
        <w:textAlignment w:val="center"/>
        <w:rPr>
          <w:rFonts w:hint="eastAsia" w:ascii="宋体" w:hAnsi="宋体" w:eastAsia="宋体" w:cs="宋体"/>
          <w:i w:val="0"/>
          <w:iCs w:val="0"/>
          <w:caps w:val="0"/>
          <w:color w:val="333333"/>
          <w:spacing w:val="0"/>
          <w:sz w:val="16"/>
          <w:szCs w:val="16"/>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5" w:beforeAutospacing="0" w:after="0" w:afterAutospacing="0" w:line="20" w:lineRule="atLeast"/>
        <w:ind w:left="0" w:right="0" w:firstLine="0"/>
        <w:jc w:val="left"/>
        <w:textAlignment w:val="center"/>
        <w:rPr>
          <w:rFonts w:hint="eastAsia" w:ascii="宋体" w:hAnsi="宋体" w:eastAsia="宋体" w:cs="宋体"/>
          <w:i w:val="0"/>
          <w:iCs w:val="0"/>
          <w:caps w:val="0"/>
          <w:color w:val="333333"/>
          <w:spacing w:val="0"/>
          <w:sz w:val="16"/>
          <w:szCs w:val="16"/>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center"/>
        <w:rPr>
          <w:rFonts w:hint="eastAsia" w:eastAsia="仿宋_GB2312" w:cs="仿宋_GB2312"/>
          <w:kern w:val="2"/>
          <w:sz w:val="32"/>
          <w:szCs w:val="32"/>
          <w:lang w:val="en-US" w:eastAsia="zh-CN" w:bidi="ar-SA"/>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center"/>
        <w:rPr>
          <w:rFonts w:hint="eastAsia" w:eastAsia="仿宋_GB2312" w:cs="仿宋_GB2312"/>
          <w:kern w:val="2"/>
          <w:sz w:val="32"/>
          <w:szCs w:val="32"/>
          <w:lang w:val="en-US" w:eastAsia="zh-CN" w:bidi="ar-SA"/>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center"/>
        <w:rPr>
          <w:rFonts w:hint="eastAsia" w:eastAsia="仿宋_GB2312" w:cs="仿宋_GB2312"/>
          <w:kern w:val="2"/>
          <w:sz w:val="32"/>
          <w:szCs w:val="32"/>
          <w:lang w:val="en-US" w:eastAsia="zh-CN" w:bidi="ar-SA"/>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center"/>
        <w:rPr>
          <w:rFonts w:hint="eastAsia" w:eastAsia="仿宋_GB2312" w:cs="仿宋_GB2312"/>
          <w:kern w:val="2"/>
          <w:sz w:val="32"/>
          <w:szCs w:val="32"/>
          <w:lang w:val="en-US" w:eastAsia="zh-CN" w:bidi="ar-SA"/>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center"/>
        <w:rPr>
          <w:rFonts w:hint="eastAsia" w:eastAsia="仿宋_GB2312" w:cs="仿宋_GB2312"/>
          <w:kern w:val="2"/>
          <w:sz w:val="32"/>
          <w:szCs w:val="32"/>
          <w:lang w:val="en-US" w:eastAsia="zh-CN" w:bidi="ar-SA"/>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center"/>
        <w:rPr>
          <w:rFonts w:hint="eastAsia" w:eastAsia="仿宋_GB2312" w:cs="仿宋_GB2312"/>
          <w:kern w:val="2"/>
          <w:sz w:val="32"/>
          <w:szCs w:val="32"/>
          <w:lang w:val="en-US" w:eastAsia="zh-CN" w:bidi="ar-SA"/>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center"/>
        <w:rPr>
          <w:rFonts w:hint="eastAsia" w:ascii="方正小标宋_GBK" w:hAnsi="方正小标宋_GBK" w:eastAsia="方正小标宋_GBK" w:cs="方正小标宋_GBK"/>
          <w:kern w:val="2"/>
          <w:sz w:val="32"/>
          <w:szCs w:val="32"/>
          <w:lang w:val="en-US" w:eastAsia="zh-CN" w:bidi="ar-SA"/>
        </w:rPr>
      </w:pPr>
      <w:r>
        <w:rPr>
          <w:rFonts w:hint="eastAsia" w:eastAsia="仿宋_GB2312" w:cs="仿宋_GB2312"/>
          <w:kern w:val="2"/>
          <w:sz w:val="32"/>
          <w:szCs w:val="32"/>
          <w:lang w:val="en-US" w:eastAsia="zh-CN" w:bidi="ar-SA"/>
        </w:rPr>
        <w:t>附件2</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center"/>
        <w:rPr>
          <w:rFonts w:hint="eastAsia" w:eastAsia="仿宋_GB2312" w:cs="仿宋_GB2312"/>
          <w:kern w:val="2"/>
          <w:sz w:val="44"/>
          <w:szCs w:val="44"/>
          <w:lang w:val="en-US" w:eastAsia="zh-CN" w:bidi="ar-SA"/>
        </w:rPr>
      </w:pPr>
      <w:r>
        <w:rPr>
          <w:rFonts w:hint="eastAsia" w:ascii="方正小标宋_GBK" w:hAnsi="方正小标宋_GBK" w:eastAsia="方正小标宋_GBK" w:cs="方正小标宋_GBK"/>
          <w:kern w:val="2"/>
          <w:sz w:val="44"/>
          <w:szCs w:val="44"/>
          <w:lang w:val="en-US" w:eastAsia="zh-CN" w:bidi="ar-SA"/>
        </w:rPr>
        <w:t>州级预算部门整体支出绩效自评表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（2022年度）</w:t>
      </w:r>
    </w:p>
    <w:tbl>
      <w:tblPr>
        <w:tblStyle w:val="10"/>
        <w:tblW w:w="84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88"/>
        <w:gridCol w:w="756"/>
        <w:gridCol w:w="1077"/>
        <w:gridCol w:w="846"/>
        <w:gridCol w:w="563"/>
        <w:gridCol w:w="708"/>
        <w:gridCol w:w="1231"/>
        <w:gridCol w:w="590"/>
        <w:gridCol w:w="606"/>
        <w:gridCol w:w="13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州级预算部门名称</w:t>
            </w:r>
          </w:p>
        </w:tc>
        <w:tc>
          <w:tcPr>
            <w:tcW w:w="769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湘西土家族苗族自治州商务局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trPr>
        <w:tc>
          <w:tcPr>
            <w:tcW w:w="7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年度预算申请（万元）</w:t>
            </w:r>
          </w:p>
        </w:tc>
        <w:tc>
          <w:tcPr>
            <w:tcW w:w="183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ajorEastAsia" w:hAnsiTheme="majorEastAsia" w:eastAsiaTheme="majorEastAsia" w:cstheme="majorEastAsia"/>
                <w:i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年初</w:t>
            </w:r>
          </w:p>
        </w:tc>
        <w:tc>
          <w:tcPr>
            <w:tcW w:w="12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全年</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全年</w:t>
            </w:r>
          </w:p>
        </w:tc>
        <w:tc>
          <w:tcPr>
            <w:tcW w:w="5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分值</w:t>
            </w:r>
          </w:p>
        </w:tc>
        <w:tc>
          <w:tcPr>
            <w:tcW w:w="6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执行率</w:t>
            </w:r>
          </w:p>
        </w:tc>
        <w:tc>
          <w:tcPr>
            <w:tcW w:w="13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trPr>
        <w:tc>
          <w:tcPr>
            <w:tcW w:w="7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ajorEastAsia" w:hAnsiTheme="majorEastAsia" w:eastAsiaTheme="majorEastAsia" w:cstheme="majorEastAsia"/>
                <w:i w:val="0"/>
                <w:color w:val="000000"/>
                <w:sz w:val="18"/>
                <w:szCs w:val="18"/>
                <w:u w:val="none"/>
              </w:rPr>
            </w:pPr>
          </w:p>
        </w:tc>
        <w:tc>
          <w:tcPr>
            <w:tcW w:w="18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ajorEastAsia" w:hAnsiTheme="majorEastAsia" w:eastAsiaTheme="majorEastAsia" w:cstheme="majorEastAsia"/>
                <w:i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预算数</w:t>
            </w:r>
          </w:p>
        </w:tc>
        <w:tc>
          <w:tcPr>
            <w:tcW w:w="12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预算数</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执行数</w:t>
            </w:r>
          </w:p>
        </w:tc>
        <w:tc>
          <w:tcPr>
            <w:tcW w:w="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ajorEastAsia" w:hAnsiTheme="majorEastAsia" w:eastAsiaTheme="majorEastAsia" w:cstheme="majorEastAsia"/>
                <w:i w:val="0"/>
                <w:color w:val="000000"/>
                <w:sz w:val="18"/>
                <w:szCs w:val="18"/>
                <w:u w:val="none"/>
              </w:rPr>
            </w:pPr>
          </w:p>
        </w:tc>
        <w:tc>
          <w:tcPr>
            <w:tcW w:w="6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ajorEastAsia" w:hAnsiTheme="majorEastAsia" w:eastAsiaTheme="majorEastAsia" w:cstheme="majorEastAsia"/>
                <w:i w:val="0"/>
                <w:color w:val="000000"/>
                <w:sz w:val="18"/>
                <w:szCs w:val="18"/>
                <w:u w:val="none"/>
              </w:rPr>
            </w:pPr>
          </w:p>
        </w:tc>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ajorEastAsia" w:hAnsiTheme="majorEastAsia" w:eastAsiaTheme="majorEastAsia" w:cstheme="majorEastAsia"/>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trPr>
        <w:tc>
          <w:tcPr>
            <w:tcW w:w="7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ajorEastAsia" w:hAnsiTheme="majorEastAsia" w:eastAsiaTheme="majorEastAsia" w:cstheme="majorEastAsia"/>
                <w:i w:val="0"/>
                <w:color w:val="000000"/>
                <w:sz w:val="18"/>
                <w:szCs w:val="18"/>
                <w:u w:val="none"/>
              </w:rPr>
            </w:pPr>
          </w:p>
        </w:tc>
        <w:tc>
          <w:tcPr>
            <w:tcW w:w="1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年度资金总额</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lang w:val="en-US"/>
              </w:rPr>
            </w:pPr>
            <w:r>
              <w:rPr>
                <w:rFonts w:hint="eastAsia" w:asciiTheme="majorEastAsia" w:hAnsiTheme="majorEastAsia" w:eastAsiaTheme="majorEastAsia" w:cstheme="majorEastAsia"/>
                <w:i w:val="0"/>
                <w:color w:val="000000"/>
                <w:kern w:val="0"/>
                <w:sz w:val="18"/>
                <w:szCs w:val="18"/>
                <w:u w:val="none"/>
                <w:lang w:val="en-US" w:eastAsia="zh-CN" w:bidi="ar"/>
              </w:rPr>
              <w:t>1261.28</w:t>
            </w:r>
          </w:p>
        </w:tc>
        <w:tc>
          <w:tcPr>
            <w:tcW w:w="12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lang w:val="en-US"/>
              </w:rPr>
            </w:pPr>
            <w:r>
              <w:rPr>
                <w:rFonts w:hint="eastAsia" w:asciiTheme="majorEastAsia" w:hAnsiTheme="majorEastAsia" w:eastAsiaTheme="majorEastAsia" w:cstheme="majorEastAsia"/>
                <w:i w:val="0"/>
                <w:color w:val="000000"/>
                <w:kern w:val="0"/>
                <w:sz w:val="18"/>
                <w:szCs w:val="18"/>
                <w:u w:val="none"/>
                <w:lang w:val="en-US" w:eastAsia="zh-CN" w:bidi="ar"/>
              </w:rPr>
              <w:t>4483.72</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lang w:val="en-US"/>
              </w:rPr>
            </w:pPr>
            <w:r>
              <w:rPr>
                <w:rFonts w:hint="eastAsia" w:asciiTheme="majorEastAsia" w:hAnsiTheme="majorEastAsia" w:eastAsiaTheme="majorEastAsia" w:cstheme="majorEastAsia"/>
                <w:i w:val="0"/>
                <w:color w:val="000000"/>
                <w:kern w:val="0"/>
                <w:sz w:val="18"/>
                <w:szCs w:val="18"/>
                <w:u w:val="none"/>
                <w:lang w:val="en-US" w:eastAsia="zh-CN" w:bidi="ar"/>
              </w:rPr>
              <w:t>4483.72</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10</w:t>
            </w:r>
          </w:p>
        </w:tc>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100%</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trPr>
        <w:tc>
          <w:tcPr>
            <w:tcW w:w="7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ajorEastAsia" w:hAnsiTheme="majorEastAsia" w:eastAsiaTheme="majorEastAsia" w:cstheme="majorEastAsia"/>
                <w:i w:val="0"/>
                <w:color w:val="000000"/>
                <w:sz w:val="18"/>
                <w:szCs w:val="18"/>
                <w:u w:val="none"/>
              </w:rPr>
            </w:pPr>
          </w:p>
        </w:tc>
        <w:tc>
          <w:tcPr>
            <w:tcW w:w="1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按收入性质分：</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1261.28</w:t>
            </w:r>
          </w:p>
        </w:tc>
        <w:tc>
          <w:tcPr>
            <w:tcW w:w="12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4483.72</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4483.72</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w:t>
            </w:r>
          </w:p>
        </w:tc>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trPr>
        <w:tc>
          <w:tcPr>
            <w:tcW w:w="7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ajorEastAsia" w:hAnsiTheme="majorEastAsia" w:eastAsiaTheme="majorEastAsia" w:cstheme="majorEastAsia"/>
                <w:i w:val="0"/>
                <w:color w:val="000000"/>
                <w:sz w:val="18"/>
                <w:szCs w:val="18"/>
                <w:u w:val="none"/>
              </w:rPr>
            </w:pPr>
          </w:p>
        </w:tc>
        <w:tc>
          <w:tcPr>
            <w:tcW w:w="1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一般公共预算</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1261.28</w:t>
            </w:r>
          </w:p>
        </w:tc>
        <w:tc>
          <w:tcPr>
            <w:tcW w:w="12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4184.87</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4184.87</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w:t>
            </w:r>
          </w:p>
        </w:tc>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trPr>
        <w:tc>
          <w:tcPr>
            <w:tcW w:w="7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ajorEastAsia" w:hAnsiTheme="majorEastAsia" w:eastAsiaTheme="majorEastAsia" w:cstheme="majorEastAsia"/>
                <w:i w:val="0"/>
                <w:color w:val="000000"/>
                <w:sz w:val="18"/>
                <w:szCs w:val="18"/>
                <w:u w:val="none"/>
              </w:rPr>
            </w:pPr>
          </w:p>
        </w:tc>
        <w:tc>
          <w:tcPr>
            <w:tcW w:w="1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政府性基金拨款</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ajorEastAsia" w:hAnsiTheme="majorEastAsia" w:eastAsiaTheme="majorEastAsia" w:cstheme="majorEastAsia"/>
                <w:i w:val="0"/>
                <w:color w:val="000000"/>
                <w:sz w:val="18"/>
                <w:szCs w:val="18"/>
                <w:u w:val="none"/>
              </w:rPr>
            </w:pPr>
          </w:p>
        </w:tc>
        <w:tc>
          <w:tcPr>
            <w:tcW w:w="12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ajorEastAsia" w:hAnsiTheme="majorEastAsia" w:eastAsiaTheme="majorEastAsia" w:cstheme="majorEastAsia"/>
                <w:i w:val="0"/>
                <w:color w:val="000000"/>
                <w:sz w:val="18"/>
                <w:szCs w:val="18"/>
                <w:u w:val="none"/>
              </w:rPr>
            </w:pP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ajorEastAsia" w:hAnsiTheme="majorEastAsia" w:eastAsiaTheme="majorEastAsia" w:cstheme="majorEastAsia"/>
                <w:i w:val="0"/>
                <w:color w:val="000000"/>
                <w:sz w:val="18"/>
                <w:szCs w:val="18"/>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w:t>
            </w:r>
          </w:p>
        </w:tc>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7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ajorEastAsia" w:hAnsiTheme="majorEastAsia" w:eastAsiaTheme="majorEastAsia" w:cstheme="majorEastAsia"/>
                <w:i w:val="0"/>
                <w:color w:val="000000"/>
                <w:sz w:val="18"/>
                <w:szCs w:val="18"/>
                <w:u w:val="none"/>
              </w:rPr>
            </w:pPr>
          </w:p>
        </w:tc>
        <w:tc>
          <w:tcPr>
            <w:tcW w:w="1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纳入专户管理的非税收入拨款</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ajorEastAsia" w:hAnsiTheme="majorEastAsia" w:eastAsiaTheme="majorEastAsia" w:cstheme="majorEastAsia"/>
                <w:i w:val="0"/>
                <w:color w:val="000000"/>
                <w:sz w:val="18"/>
                <w:szCs w:val="18"/>
                <w:u w:val="none"/>
              </w:rPr>
            </w:pPr>
          </w:p>
        </w:tc>
        <w:tc>
          <w:tcPr>
            <w:tcW w:w="12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ajorEastAsia" w:hAnsiTheme="majorEastAsia" w:eastAsiaTheme="majorEastAsia" w:cstheme="majorEastAsia"/>
                <w:i w:val="0"/>
                <w:color w:val="000000"/>
                <w:sz w:val="18"/>
                <w:szCs w:val="18"/>
                <w:u w:val="none"/>
                <w:lang w:val="en-US" w:eastAsia="zh-CN"/>
              </w:rPr>
            </w:pPr>
            <w:r>
              <w:rPr>
                <w:rFonts w:hint="eastAsia" w:asciiTheme="majorEastAsia" w:hAnsiTheme="majorEastAsia" w:eastAsiaTheme="majorEastAsia" w:cstheme="majorEastAsia"/>
                <w:i w:val="0"/>
                <w:color w:val="000000"/>
                <w:sz w:val="18"/>
                <w:szCs w:val="18"/>
                <w:u w:val="none"/>
                <w:lang w:val="en-US" w:eastAsia="zh-CN"/>
              </w:rPr>
              <w:t>181.41</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ajorEastAsia" w:hAnsiTheme="majorEastAsia" w:eastAsiaTheme="majorEastAsia" w:cstheme="majorEastAsia"/>
                <w:i w:val="0"/>
                <w:color w:val="000000"/>
                <w:sz w:val="18"/>
                <w:szCs w:val="18"/>
                <w:u w:val="none"/>
                <w:lang w:val="en-US" w:eastAsia="zh-CN"/>
              </w:rPr>
            </w:pPr>
            <w:r>
              <w:rPr>
                <w:rFonts w:hint="eastAsia" w:asciiTheme="majorEastAsia" w:hAnsiTheme="majorEastAsia" w:eastAsiaTheme="majorEastAsia" w:cstheme="majorEastAsia"/>
                <w:i w:val="0"/>
                <w:color w:val="000000"/>
                <w:sz w:val="18"/>
                <w:szCs w:val="18"/>
                <w:u w:val="none"/>
                <w:lang w:val="en-US" w:eastAsia="zh-CN"/>
              </w:rPr>
              <w:t>181.41</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w:t>
            </w:r>
          </w:p>
        </w:tc>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trPr>
        <w:tc>
          <w:tcPr>
            <w:tcW w:w="7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ajorEastAsia" w:hAnsiTheme="majorEastAsia" w:eastAsiaTheme="majorEastAsia" w:cstheme="majorEastAsia"/>
                <w:i w:val="0"/>
                <w:color w:val="000000"/>
                <w:sz w:val="18"/>
                <w:szCs w:val="18"/>
                <w:u w:val="none"/>
              </w:rPr>
            </w:pPr>
          </w:p>
        </w:tc>
        <w:tc>
          <w:tcPr>
            <w:tcW w:w="1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其他资金</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ajorEastAsia" w:hAnsiTheme="majorEastAsia" w:eastAsiaTheme="majorEastAsia" w:cstheme="majorEastAsia"/>
                <w:i w:val="0"/>
                <w:color w:val="000000"/>
                <w:sz w:val="18"/>
                <w:szCs w:val="18"/>
                <w:u w:val="none"/>
              </w:rPr>
            </w:pPr>
          </w:p>
        </w:tc>
        <w:tc>
          <w:tcPr>
            <w:tcW w:w="12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ajorEastAsia" w:hAnsiTheme="majorEastAsia" w:eastAsiaTheme="majorEastAsia" w:cstheme="majorEastAsia"/>
                <w:i w:val="0"/>
                <w:color w:val="000000"/>
                <w:sz w:val="18"/>
                <w:szCs w:val="18"/>
                <w:u w:val="none"/>
                <w:lang w:val="en-US" w:eastAsia="zh-CN"/>
              </w:rPr>
            </w:pPr>
            <w:r>
              <w:rPr>
                <w:rFonts w:hint="eastAsia" w:asciiTheme="majorEastAsia" w:hAnsiTheme="majorEastAsia" w:eastAsiaTheme="majorEastAsia" w:cstheme="majorEastAsia"/>
                <w:i w:val="0"/>
                <w:color w:val="000000"/>
                <w:sz w:val="18"/>
                <w:szCs w:val="18"/>
                <w:u w:val="none"/>
                <w:lang w:val="en-US" w:eastAsia="zh-CN"/>
              </w:rPr>
              <w:t>117.44</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ajorEastAsia" w:hAnsiTheme="majorEastAsia" w:eastAsiaTheme="majorEastAsia" w:cstheme="majorEastAsia"/>
                <w:i w:val="0"/>
                <w:color w:val="000000"/>
                <w:sz w:val="18"/>
                <w:szCs w:val="18"/>
                <w:u w:val="none"/>
                <w:lang w:val="en-US" w:eastAsia="zh-CN"/>
              </w:rPr>
            </w:pPr>
            <w:r>
              <w:rPr>
                <w:rFonts w:hint="eastAsia" w:asciiTheme="majorEastAsia" w:hAnsiTheme="majorEastAsia" w:eastAsiaTheme="majorEastAsia" w:cstheme="majorEastAsia"/>
                <w:i w:val="0"/>
                <w:color w:val="000000"/>
                <w:sz w:val="18"/>
                <w:szCs w:val="18"/>
                <w:u w:val="none"/>
                <w:lang w:val="en-US" w:eastAsia="zh-CN"/>
              </w:rPr>
              <w:t>117.44</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w:t>
            </w:r>
          </w:p>
        </w:tc>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trPr>
        <w:tc>
          <w:tcPr>
            <w:tcW w:w="7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ajorEastAsia" w:hAnsiTheme="majorEastAsia" w:eastAsiaTheme="majorEastAsia" w:cstheme="majorEastAsia"/>
                <w:i w:val="0"/>
                <w:color w:val="000000"/>
                <w:sz w:val="18"/>
                <w:szCs w:val="18"/>
                <w:u w:val="none"/>
              </w:rPr>
            </w:pPr>
          </w:p>
        </w:tc>
        <w:tc>
          <w:tcPr>
            <w:tcW w:w="1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按支出性质分：</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lang w:val="en-US"/>
              </w:rPr>
            </w:pPr>
            <w:r>
              <w:rPr>
                <w:rFonts w:hint="eastAsia" w:asciiTheme="majorEastAsia" w:hAnsiTheme="majorEastAsia" w:eastAsiaTheme="majorEastAsia" w:cstheme="majorEastAsia"/>
                <w:i w:val="0"/>
                <w:color w:val="000000"/>
                <w:kern w:val="0"/>
                <w:sz w:val="18"/>
                <w:szCs w:val="18"/>
                <w:u w:val="none"/>
                <w:lang w:val="en-US" w:eastAsia="zh-CN" w:bidi="ar"/>
              </w:rPr>
              <w:t>1261.28</w:t>
            </w:r>
          </w:p>
        </w:tc>
        <w:tc>
          <w:tcPr>
            <w:tcW w:w="12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lang w:val="en-US"/>
              </w:rPr>
            </w:pPr>
            <w:r>
              <w:rPr>
                <w:rFonts w:hint="eastAsia" w:asciiTheme="majorEastAsia" w:hAnsiTheme="majorEastAsia" w:eastAsiaTheme="majorEastAsia" w:cstheme="majorEastAsia"/>
                <w:i w:val="0"/>
                <w:color w:val="000000"/>
                <w:kern w:val="0"/>
                <w:sz w:val="18"/>
                <w:szCs w:val="18"/>
                <w:u w:val="none"/>
                <w:lang w:val="en-US" w:eastAsia="zh-CN" w:bidi="ar"/>
              </w:rPr>
              <w:t>4483.72</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lang w:val="en-US" w:eastAsia="zh-CN"/>
              </w:rPr>
            </w:pPr>
            <w:r>
              <w:rPr>
                <w:rFonts w:hint="eastAsia" w:asciiTheme="majorEastAsia" w:hAnsiTheme="majorEastAsia" w:eastAsiaTheme="majorEastAsia" w:cstheme="majorEastAsia"/>
                <w:i w:val="0"/>
                <w:color w:val="000000"/>
                <w:sz w:val="18"/>
                <w:szCs w:val="18"/>
                <w:u w:val="none"/>
                <w:lang w:val="en-US" w:eastAsia="zh-CN"/>
              </w:rPr>
              <w:t>4483.72</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w:t>
            </w:r>
          </w:p>
        </w:tc>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trPr>
        <w:tc>
          <w:tcPr>
            <w:tcW w:w="7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ajorEastAsia" w:hAnsiTheme="majorEastAsia" w:eastAsiaTheme="majorEastAsia" w:cstheme="majorEastAsia"/>
                <w:i w:val="0"/>
                <w:color w:val="000000"/>
                <w:sz w:val="18"/>
                <w:szCs w:val="18"/>
                <w:u w:val="none"/>
              </w:rPr>
            </w:pPr>
          </w:p>
        </w:tc>
        <w:tc>
          <w:tcPr>
            <w:tcW w:w="1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基本支出</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lang w:val="en-US"/>
              </w:rPr>
            </w:pPr>
            <w:r>
              <w:rPr>
                <w:rFonts w:hint="eastAsia" w:asciiTheme="majorEastAsia" w:hAnsiTheme="majorEastAsia" w:eastAsiaTheme="majorEastAsia" w:cstheme="majorEastAsia"/>
                <w:i w:val="0"/>
                <w:color w:val="000000"/>
                <w:kern w:val="0"/>
                <w:sz w:val="18"/>
                <w:szCs w:val="18"/>
                <w:u w:val="none"/>
                <w:lang w:val="en-US" w:eastAsia="zh-CN" w:bidi="ar"/>
              </w:rPr>
              <w:t>1192.86</w:t>
            </w:r>
          </w:p>
        </w:tc>
        <w:tc>
          <w:tcPr>
            <w:tcW w:w="12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lang w:val="en-US" w:eastAsia="zh-CN"/>
              </w:rPr>
            </w:pPr>
            <w:r>
              <w:rPr>
                <w:rFonts w:hint="eastAsia" w:asciiTheme="majorEastAsia" w:hAnsiTheme="majorEastAsia" w:eastAsiaTheme="majorEastAsia" w:cstheme="majorEastAsia"/>
                <w:i w:val="0"/>
                <w:color w:val="000000"/>
                <w:sz w:val="18"/>
                <w:szCs w:val="18"/>
                <w:u w:val="none"/>
                <w:lang w:val="en-US" w:eastAsia="zh-CN"/>
              </w:rPr>
              <w:t>2423.64</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lang w:val="en-US"/>
              </w:rPr>
            </w:pPr>
            <w:r>
              <w:rPr>
                <w:rFonts w:hint="eastAsia" w:asciiTheme="majorEastAsia" w:hAnsiTheme="majorEastAsia" w:eastAsiaTheme="majorEastAsia" w:cstheme="majorEastAsia"/>
                <w:i w:val="0"/>
                <w:color w:val="000000"/>
                <w:kern w:val="0"/>
                <w:sz w:val="18"/>
                <w:szCs w:val="18"/>
                <w:u w:val="none"/>
                <w:lang w:val="en-US" w:eastAsia="zh-CN" w:bidi="ar"/>
              </w:rPr>
              <w:t>2423.64</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w:t>
            </w:r>
          </w:p>
        </w:tc>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trPr>
        <w:tc>
          <w:tcPr>
            <w:tcW w:w="7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ajorEastAsia" w:hAnsiTheme="majorEastAsia" w:eastAsiaTheme="majorEastAsia" w:cstheme="majorEastAsia"/>
                <w:i w:val="0"/>
                <w:color w:val="000000"/>
                <w:sz w:val="18"/>
                <w:szCs w:val="18"/>
                <w:u w:val="none"/>
              </w:rPr>
            </w:pPr>
          </w:p>
        </w:tc>
        <w:tc>
          <w:tcPr>
            <w:tcW w:w="1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项目支出</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lang w:val="en-US"/>
              </w:rPr>
            </w:pPr>
            <w:r>
              <w:rPr>
                <w:rFonts w:hint="eastAsia" w:asciiTheme="majorEastAsia" w:hAnsiTheme="majorEastAsia" w:eastAsiaTheme="majorEastAsia" w:cstheme="majorEastAsia"/>
                <w:i w:val="0"/>
                <w:color w:val="000000"/>
                <w:kern w:val="0"/>
                <w:sz w:val="18"/>
                <w:szCs w:val="18"/>
                <w:u w:val="none"/>
                <w:lang w:val="en-US" w:eastAsia="zh-CN" w:bidi="ar"/>
              </w:rPr>
              <w:t>68.42</w:t>
            </w:r>
          </w:p>
        </w:tc>
        <w:tc>
          <w:tcPr>
            <w:tcW w:w="12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lang w:val="en-US" w:eastAsia="zh-CN"/>
              </w:rPr>
            </w:pPr>
            <w:r>
              <w:rPr>
                <w:rFonts w:hint="eastAsia" w:asciiTheme="majorEastAsia" w:hAnsiTheme="majorEastAsia" w:eastAsiaTheme="majorEastAsia" w:cstheme="majorEastAsia"/>
                <w:i w:val="0"/>
                <w:color w:val="000000"/>
                <w:sz w:val="18"/>
                <w:szCs w:val="18"/>
                <w:u w:val="none"/>
                <w:lang w:val="en-US" w:eastAsia="zh-CN"/>
              </w:rPr>
              <w:t>2060.08</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lang w:val="en-US" w:eastAsia="zh-CN"/>
              </w:rPr>
            </w:pPr>
            <w:r>
              <w:rPr>
                <w:rFonts w:hint="eastAsia" w:asciiTheme="majorEastAsia" w:hAnsiTheme="majorEastAsia" w:eastAsiaTheme="majorEastAsia" w:cstheme="majorEastAsia"/>
                <w:i w:val="0"/>
                <w:color w:val="000000"/>
                <w:sz w:val="18"/>
                <w:szCs w:val="18"/>
                <w:u w:val="none"/>
                <w:lang w:val="en-US" w:eastAsia="zh-CN"/>
              </w:rPr>
              <w:t>2060.08</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w:t>
            </w:r>
          </w:p>
        </w:tc>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年度总体目标</w:t>
            </w:r>
          </w:p>
        </w:tc>
        <w:tc>
          <w:tcPr>
            <w:tcW w:w="395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预期目标</w:t>
            </w:r>
          </w:p>
        </w:tc>
        <w:tc>
          <w:tcPr>
            <w:tcW w:w="3742"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ajorEastAsia" w:hAnsiTheme="majorEastAsia" w:eastAsiaTheme="majorEastAsia" w:cstheme="majorEastAsia"/>
                <w:i w:val="0"/>
                <w:color w:val="000000"/>
                <w:sz w:val="18"/>
                <w:szCs w:val="18"/>
                <w:u w:val="none"/>
              </w:rPr>
            </w:pPr>
          </w:p>
        </w:tc>
        <w:tc>
          <w:tcPr>
            <w:tcW w:w="395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一是稳中求进工作总基调，贯彻落实省委、省政府“三高四新”战略和州委建设“三区两地”“五个湘西”发展思路，组织开展州级重点招商活动，大力推进产业项目招商；二是努力扩大对外贸易，加快壮大外贸主体，参加进博会、中非经贸博览会、国际消费品博览会、口岸博览会等国内外重点会展，推广湘西优质产品，开拓外贸国际市场，保持外贸外资持续稳定增长；三是搞活内贸流通，促进消费，重点培育限上商贸流通企业，加快电子商务发展；四是优化环境，规范经营秩序，推动我州经济又好又快发展。</w:t>
            </w:r>
          </w:p>
        </w:tc>
        <w:tc>
          <w:tcPr>
            <w:tcW w:w="3742" w:type="dxa"/>
            <w:gridSpan w:val="4"/>
            <w:tcBorders>
              <w:top w:val="single" w:color="000000" w:sz="4" w:space="0"/>
              <w:left w:val="nil"/>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1、出台《湘西自治州优势产业精准招商行动计划（2022-2025）》，创新推进挂帅领衔、主动上门、云端隔屏“三个一批”招商模式，组织举办三场重大经贸招商活动，引进“三类500强”企业新投资项目12个；2、扎实推进稳外贸“四个一”活动，首次通过中欧班列发货，出口俄罗斯金属锰货值112万元；全州50家实绩外贸企业，22家企业实现“破零倍增”兑现外贸企业奖补资金573万元。积极申报湘西高新区为中国(湖南)自由贸易试验区协同联动区，着力打造外贸产业集群发展新平台；3、聚焦“政策红利”“制度红利”释放主动作为，激活消费市场，消费回暖加速，消费质量加快提升、规模不断扩大。制定了“乐享消费·幸福湘西”2022湘西州促消费系列活动方案，明确了“8大促消费”重点内容，突出节会引擎拉动效应；4、制定《湘西州商务局优化营商环境工作方案》，列出10大任务清单，压茬式、一体化推进，共计精简缩减办事材料14份，压缩承诺办理时间67天，极大提高了服务群众、企业办事效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4" w:hRule="atLeast"/>
        </w:trPr>
        <w:tc>
          <w:tcPr>
            <w:tcW w:w="7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绩</w:t>
            </w:r>
            <w:r>
              <w:rPr>
                <w:rFonts w:hint="eastAsia" w:asciiTheme="majorEastAsia" w:hAnsiTheme="majorEastAsia" w:eastAsiaTheme="majorEastAsia" w:cstheme="majorEastAsia"/>
                <w:i w:val="0"/>
                <w:color w:val="000000"/>
                <w:kern w:val="0"/>
                <w:sz w:val="18"/>
                <w:szCs w:val="18"/>
                <w:u w:val="none"/>
                <w:lang w:val="en-US" w:eastAsia="zh-CN" w:bidi="ar"/>
              </w:rPr>
              <w:br w:type="textWrapping"/>
            </w:r>
            <w:r>
              <w:rPr>
                <w:rFonts w:hint="eastAsia" w:asciiTheme="majorEastAsia" w:hAnsiTheme="majorEastAsia" w:eastAsiaTheme="majorEastAsia" w:cstheme="majorEastAsia"/>
                <w:i w:val="0"/>
                <w:color w:val="000000"/>
                <w:kern w:val="0"/>
                <w:sz w:val="18"/>
                <w:szCs w:val="18"/>
                <w:u w:val="none"/>
                <w:lang w:val="en-US" w:eastAsia="zh-CN" w:bidi="ar"/>
              </w:rPr>
              <w:t>效</w:t>
            </w:r>
            <w:r>
              <w:rPr>
                <w:rFonts w:hint="eastAsia" w:asciiTheme="majorEastAsia" w:hAnsiTheme="majorEastAsia" w:eastAsiaTheme="majorEastAsia" w:cstheme="majorEastAsia"/>
                <w:i w:val="0"/>
                <w:color w:val="000000"/>
                <w:kern w:val="0"/>
                <w:sz w:val="18"/>
                <w:szCs w:val="18"/>
                <w:u w:val="none"/>
                <w:lang w:val="en-US" w:eastAsia="zh-CN" w:bidi="ar"/>
              </w:rPr>
              <w:br w:type="textWrapping"/>
            </w:r>
            <w:r>
              <w:rPr>
                <w:rFonts w:hint="eastAsia" w:asciiTheme="majorEastAsia" w:hAnsiTheme="majorEastAsia" w:eastAsiaTheme="majorEastAsia" w:cstheme="majorEastAsia"/>
                <w:i w:val="0"/>
                <w:color w:val="000000"/>
                <w:kern w:val="0"/>
                <w:sz w:val="18"/>
                <w:szCs w:val="18"/>
                <w:u w:val="none"/>
                <w:lang w:val="en-US" w:eastAsia="zh-CN" w:bidi="ar"/>
              </w:rPr>
              <w:t>指</w:t>
            </w:r>
            <w:r>
              <w:rPr>
                <w:rFonts w:hint="eastAsia" w:asciiTheme="majorEastAsia" w:hAnsiTheme="majorEastAsia" w:eastAsiaTheme="majorEastAsia" w:cstheme="majorEastAsia"/>
                <w:i w:val="0"/>
                <w:color w:val="000000"/>
                <w:kern w:val="0"/>
                <w:sz w:val="18"/>
                <w:szCs w:val="18"/>
                <w:u w:val="none"/>
                <w:lang w:val="en-US" w:eastAsia="zh-CN" w:bidi="ar"/>
              </w:rPr>
              <w:br w:type="textWrapping"/>
            </w:r>
            <w:r>
              <w:rPr>
                <w:rFonts w:hint="eastAsia" w:asciiTheme="majorEastAsia" w:hAnsiTheme="majorEastAsia" w:eastAsiaTheme="majorEastAsia" w:cstheme="majorEastAsia"/>
                <w:i w:val="0"/>
                <w:color w:val="000000"/>
                <w:kern w:val="0"/>
                <w:sz w:val="18"/>
                <w:szCs w:val="18"/>
                <w:u w:val="none"/>
                <w:lang w:val="en-US" w:eastAsia="zh-CN" w:bidi="ar"/>
              </w:rPr>
              <w:t>标</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一级指标</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二级指标</w:t>
            </w:r>
          </w:p>
        </w:tc>
        <w:tc>
          <w:tcPr>
            <w:tcW w:w="14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三级指标</w:t>
            </w:r>
          </w:p>
        </w:tc>
        <w:tc>
          <w:tcPr>
            <w:tcW w:w="70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年度指标值</w:t>
            </w:r>
          </w:p>
        </w:tc>
        <w:tc>
          <w:tcPr>
            <w:tcW w:w="123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实际完成值</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分值</w:t>
            </w:r>
          </w:p>
        </w:tc>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得分</w:t>
            </w:r>
          </w:p>
        </w:tc>
        <w:tc>
          <w:tcPr>
            <w:tcW w:w="131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8" w:hRule="atLeast"/>
        </w:trPr>
        <w:tc>
          <w:tcPr>
            <w:tcW w:w="7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ajorEastAsia" w:hAnsiTheme="majorEastAsia" w:eastAsiaTheme="majorEastAsia" w:cstheme="majorEastAsia"/>
                <w:i w:val="0"/>
                <w:color w:val="000000"/>
                <w:sz w:val="18"/>
                <w:szCs w:val="18"/>
                <w:u w:val="none"/>
              </w:rPr>
            </w:pPr>
          </w:p>
        </w:tc>
        <w:tc>
          <w:tcPr>
            <w:tcW w:w="7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产出指标（50分）</w:t>
            </w:r>
          </w:p>
        </w:tc>
        <w:tc>
          <w:tcPr>
            <w:tcW w:w="10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数量指标</w:t>
            </w:r>
          </w:p>
        </w:tc>
        <w:tc>
          <w:tcPr>
            <w:tcW w:w="14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引进“三类500强”企业新投资项目（个）</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5</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lang w:val="en-US"/>
              </w:rPr>
            </w:pPr>
            <w:r>
              <w:rPr>
                <w:rFonts w:hint="eastAsia" w:asciiTheme="majorEastAsia" w:hAnsiTheme="majorEastAsia" w:eastAsiaTheme="majorEastAsia" w:cstheme="majorEastAsia"/>
                <w:i w:val="0"/>
                <w:color w:val="000000"/>
                <w:kern w:val="0"/>
                <w:sz w:val="18"/>
                <w:szCs w:val="18"/>
                <w:u w:val="none"/>
                <w:lang w:val="en-US" w:eastAsia="zh-CN" w:bidi="ar"/>
              </w:rPr>
              <w:t>14</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8</w:t>
            </w:r>
          </w:p>
        </w:tc>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8</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Theme="majorEastAsia" w:hAnsiTheme="majorEastAsia" w:eastAsiaTheme="majorEastAsia" w:cstheme="majorEastAsia"/>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6" w:hRule="atLeast"/>
        </w:trPr>
        <w:tc>
          <w:tcPr>
            <w:tcW w:w="7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ajorEastAsia" w:hAnsiTheme="majorEastAsia" w:eastAsiaTheme="majorEastAsia" w:cstheme="majorEastAsia"/>
                <w:i w:val="0"/>
                <w:color w:val="000000"/>
                <w:sz w:val="18"/>
                <w:szCs w:val="18"/>
                <w:u w:val="none"/>
              </w:rPr>
            </w:pPr>
          </w:p>
        </w:tc>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Theme="majorEastAsia" w:hAnsiTheme="majorEastAsia" w:eastAsiaTheme="majorEastAsia" w:cstheme="majorEastAsia"/>
                <w:i w:val="0"/>
                <w:color w:val="000000"/>
                <w:sz w:val="18"/>
                <w:szCs w:val="18"/>
                <w:u w:val="none"/>
              </w:rPr>
            </w:pP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ajorEastAsia" w:hAnsiTheme="majorEastAsia" w:eastAsiaTheme="majorEastAsia" w:cstheme="majorEastAsia"/>
                <w:i w:val="0"/>
                <w:color w:val="000000"/>
                <w:sz w:val="18"/>
                <w:szCs w:val="18"/>
                <w:u w:val="none"/>
              </w:rPr>
            </w:pPr>
          </w:p>
        </w:tc>
        <w:tc>
          <w:tcPr>
            <w:tcW w:w="14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限额以上商贸流通企业培育入规（家）</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lang w:val="en-US"/>
              </w:rPr>
            </w:pPr>
            <w:r>
              <w:rPr>
                <w:rFonts w:hint="eastAsia" w:asciiTheme="majorEastAsia" w:hAnsiTheme="majorEastAsia" w:eastAsiaTheme="majorEastAsia" w:cstheme="majorEastAsia"/>
                <w:i w:val="0"/>
                <w:color w:val="000000"/>
                <w:kern w:val="0"/>
                <w:sz w:val="18"/>
                <w:szCs w:val="18"/>
                <w:u w:val="none"/>
                <w:lang w:val="en-US" w:eastAsia="zh-CN" w:bidi="ar"/>
              </w:rPr>
              <w:t>40</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lang w:val="en-US" w:eastAsia="zh-CN"/>
              </w:rPr>
            </w:pPr>
            <w:r>
              <w:rPr>
                <w:rFonts w:hint="eastAsia" w:asciiTheme="majorEastAsia" w:hAnsiTheme="majorEastAsia" w:eastAsiaTheme="majorEastAsia" w:cstheme="majorEastAsia"/>
                <w:i w:val="0"/>
                <w:color w:val="000000"/>
                <w:sz w:val="18"/>
                <w:szCs w:val="18"/>
                <w:u w:val="none"/>
                <w:lang w:val="en-US" w:eastAsia="zh-CN"/>
              </w:rPr>
              <w:t>50</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lang w:val="en-US" w:eastAsia="zh-CN"/>
              </w:rPr>
            </w:pPr>
            <w:r>
              <w:rPr>
                <w:rFonts w:hint="eastAsia" w:asciiTheme="majorEastAsia" w:hAnsiTheme="majorEastAsia" w:eastAsiaTheme="majorEastAsia" w:cstheme="majorEastAsia"/>
                <w:i w:val="0"/>
                <w:color w:val="000000"/>
                <w:sz w:val="18"/>
                <w:szCs w:val="18"/>
                <w:u w:val="none"/>
                <w:lang w:val="en-US" w:eastAsia="zh-CN"/>
              </w:rPr>
              <w:t>8</w:t>
            </w:r>
          </w:p>
        </w:tc>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8</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Theme="majorEastAsia" w:hAnsiTheme="majorEastAsia" w:eastAsiaTheme="majorEastAsia" w:cstheme="majorEastAsia"/>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6" w:hRule="atLeast"/>
        </w:trPr>
        <w:tc>
          <w:tcPr>
            <w:tcW w:w="7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ajorEastAsia" w:hAnsiTheme="majorEastAsia" w:eastAsiaTheme="majorEastAsia" w:cstheme="majorEastAsia"/>
                <w:i w:val="0"/>
                <w:color w:val="000000"/>
                <w:sz w:val="18"/>
                <w:szCs w:val="18"/>
                <w:u w:val="none"/>
              </w:rPr>
            </w:pPr>
          </w:p>
        </w:tc>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Theme="majorEastAsia" w:hAnsiTheme="majorEastAsia" w:eastAsiaTheme="majorEastAsia" w:cstheme="majorEastAsia"/>
                <w:i w:val="0"/>
                <w:color w:val="000000"/>
                <w:sz w:val="18"/>
                <w:szCs w:val="18"/>
                <w:u w:val="none"/>
              </w:rPr>
            </w:pP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ajorEastAsia" w:hAnsiTheme="majorEastAsia" w:eastAsiaTheme="majorEastAsia" w:cstheme="majorEastAsia"/>
                <w:i w:val="0"/>
                <w:color w:val="000000"/>
                <w:sz w:val="18"/>
                <w:szCs w:val="18"/>
                <w:u w:val="none"/>
              </w:rPr>
            </w:pPr>
          </w:p>
        </w:tc>
        <w:tc>
          <w:tcPr>
            <w:tcW w:w="14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乡村振兴农村电商示范站点升级改造（个）</w:t>
            </w:r>
          </w:p>
        </w:tc>
        <w:tc>
          <w:tcPr>
            <w:tcW w:w="708" w:type="dxa"/>
            <w:tcBorders>
              <w:top w:val="nil"/>
              <w:left w:val="nil"/>
              <w:bottom w:val="single" w:color="00000A" w:sz="8" w:space="0"/>
              <w:right w:val="single" w:color="00000A"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40</w:t>
            </w:r>
          </w:p>
        </w:tc>
        <w:tc>
          <w:tcPr>
            <w:tcW w:w="1231" w:type="dxa"/>
            <w:tcBorders>
              <w:top w:val="nil"/>
              <w:left w:val="nil"/>
              <w:bottom w:val="single" w:color="00000A" w:sz="8" w:space="0"/>
              <w:right w:val="single" w:color="00000A"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40</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8</w:t>
            </w:r>
          </w:p>
        </w:tc>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8</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Theme="majorEastAsia" w:hAnsiTheme="majorEastAsia" w:eastAsiaTheme="majorEastAsia" w:cstheme="majorEastAsia"/>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8" w:hRule="atLeast"/>
        </w:trPr>
        <w:tc>
          <w:tcPr>
            <w:tcW w:w="7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ajorEastAsia" w:hAnsiTheme="majorEastAsia" w:eastAsiaTheme="majorEastAsia" w:cstheme="majorEastAsia"/>
                <w:i w:val="0"/>
                <w:color w:val="000000"/>
                <w:sz w:val="18"/>
                <w:szCs w:val="18"/>
                <w:u w:val="none"/>
              </w:rPr>
            </w:pPr>
          </w:p>
        </w:tc>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Theme="majorEastAsia" w:hAnsiTheme="majorEastAsia" w:eastAsiaTheme="majorEastAsia" w:cstheme="majorEastAsia"/>
                <w:i w:val="0"/>
                <w:color w:val="000000"/>
                <w:sz w:val="18"/>
                <w:szCs w:val="18"/>
                <w:u w:val="none"/>
              </w:rPr>
            </w:pPr>
          </w:p>
        </w:tc>
        <w:tc>
          <w:tcPr>
            <w:tcW w:w="107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质量指标</w:t>
            </w:r>
          </w:p>
        </w:tc>
        <w:tc>
          <w:tcPr>
            <w:tcW w:w="14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2020-2021省级签约项目履约率项目（%）</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≥90</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lang w:val="en-US"/>
              </w:rPr>
            </w:pPr>
            <w:r>
              <w:rPr>
                <w:rFonts w:hint="eastAsia" w:asciiTheme="majorEastAsia" w:hAnsiTheme="majorEastAsia" w:eastAsiaTheme="majorEastAsia" w:cstheme="majorEastAsia"/>
                <w:i w:val="0"/>
                <w:color w:val="000000"/>
                <w:kern w:val="0"/>
                <w:sz w:val="18"/>
                <w:szCs w:val="18"/>
                <w:u w:val="none"/>
                <w:lang w:val="en-US" w:eastAsia="zh-CN" w:bidi="ar"/>
              </w:rPr>
              <w:t>100</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5</w:t>
            </w:r>
          </w:p>
        </w:tc>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5</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Theme="majorEastAsia" w:hAnsiTheme="majorEastAsia" w:eastAsiaTheme="majorEastAsia" w:cstheme="majorEastAsia"/>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7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ajorEastAsia" w:hAnsiTheme="majorEastAsia" w:eastAsiaTheme="majorEastAsia" w:cstheme="majorEastAsia"/>
                <w:i w:val="0"/>
                <w:color w:val="000000"/>
                <w:sz w:val="18"/>
                <w:szCs w:val="18"/>
                <w:u w:val="none"/>
              </w:rPr>
            </w:pPr>
          </w:p>
        </w:tc>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Theme="majorEastAsia" w:hAnsiTheme="majorEastAsia" w:eastAsiaTheme="majorEastAsia" w:cstheme="majorEastAsia"/>
                <w:i w:val="0"/>
                <w:color w:val="000000"/>
                <w:sz w:val="18"/>
                <w:szCs w:val="18"/>
                <w:u w:val="none"/>
              </w:rPr>
            </w:pPr>
          </w:p>
        </w:tc>
        <w:tc>
          <w:tcPr>
            <w:tcW w:w="1077" w:type="dxa"/>
            <w:vMerge w:val="continue"/>
            <w:tcBorders>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p>
        </w:tc>
        <w:tc>
          <w:tcPr>
            <w:tcW w:w="14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2020-2021州级签约项目履约率（%）</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≥70</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88.5</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5</w:t>
            </w:r>
          </w:p>
        </w:tc>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5</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Theme="majorEastAsia" w:hAnsiTheme="majorEastAsia" w:eastAsiaTheme="majorEastAsia" w:cstheme="majorEastAsia"/>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7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ajorEastAsia" w:hAnsiTheme="majorEastAsia" w:eastAsiaTheme="majorEastAsia" w:cstheme="majorEastAsia"/>
                <w:i w:val="0"/>
                <w:color w:val="000000"/>
                <w:sz w:val="18"/>
                <w:szCs w:val="18"/>
                <w:u w:val="none"/>
              </w:rPr>
            </w:pPr>
          </w:p>
        </w:tc>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Theme="majorEastAsia" w:hAnsiTheme="majorEastAsia" w:eastAsiaTheme="majorEastAsia" w:cstheme="majorEastAsia"/>
                <w:i w:val="0"/>
                <w:color w:val="000000"/>
                <w:sz w:val="18"/>
                <w:szCs w:val="18"/>
                <w:u w:val="none"/>
              </w:rPr>
            </w:pPr>
          </w:p>
        </w:tc>
        <w:tc>
          <w:tcPr>
            <w:tcW w:w="107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时效指标</w:t>
            </w:r>
          </w:p>
        </w:tc>
        <w:tc>
          <w:tcPr>
            <w:tcW w:w="14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项目是否按时完成</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是</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lang w:eastAsia="zh-CN"/>
              </w:rPr>
            </w:pPr>
            <w:r>
              <w:rPr>
                <w:rFonts w:hint="eastAsia" w:asciiTheme="majorEastAsia" w:hAnsiTheme="majorEastAsia" w:eastAsiaTheme="majorEastAsia" w:cstheme="majorEastAsia"/>
                <w:i w:val="0"/>
                <w:color w:val="000000"/>
                <w:sz w:val="18"/>
                <w:szCs w:val="18"/>
                <w:u w:val="none"/>
                <w:lang w:eastAsia="zh-CN"/>
              </w:rPr>
              <w:t>是</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6</w:t>
            </w:r>
          </w:p>
        </w:tc>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6</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Theme="majorEastAsia" w:hAnsiTheme="majorEastAsia" w:eastAsiaTheme="majorEastAsia" w:cstheme="majorEastAsia"/>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7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ajorEastAsia" w:hAnsiTheme="majorEastAsia" w:eastAsiaTheme="majorEastAsia" w:cstheme="majorEastAsia"/>
                <w:i w:val="0"/>
                <w:color w:val="000000"/>
                <w:sz w:val="18"/>
                <w:szCs w:val="18"/>
                <w:u w:val="none"/>
              </w:rPr>
            </w:pPr>
          </w:p>
        </w:tc>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Theme="majorEastAsia" w:hAnsiTheme="majorEastAsia" w:eastAsiaTheme="majorEastAsia" w:cstheme="majorEastAsia"/>
                <w:i w:val="0"/>
                <w:color w:val="000000"/>
                <w:sz w:val="18"/>
                <w:szCs w:val="18"/>
                <w:u w:val="none"/>
              </w:rPr>
            </w:pPr>
          </w:p>
        </w:tc>
        <w:tc>
          <w:tcPr>
            <w:tcW w:w="10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成本指标</w:t>
            </w:r>
          </w:p>
        </w:tc>
        <w:tc>
          <w:tcPr>
            <w:tcW w:w="14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在职人员控制率（%）</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≤100</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lang w:val="en-US"/>
              </w:rPr>
            </w:pPr>
            <w:r>
              <w:rPr>
                <w:rFonts w:hint="eastAsia" w:asciiTheme="majorEastAsia" w:hAnsiTheme="majorEastAsia" w:eastAsiaTheme="majorEastAsia" w:cstheme="majorEastAsia"/>
                <w:i w:val="0"/>
                <w:color w:val="000000"/>
                <w:kern w:val="0"/>
                <w:sz w:val="18"/>
                <w:szCs w:val="18"/>
                <w:u w:val="none"/>
                <w:lang w:val="en-US" w:eastAsia="zh-CN" w:bidi="ar"/>
              </w:rPr>
              <w:t>88</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5</w:t>
            </w:r>
          </w:p>
        </w:tc>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lang w:val="en-US" w:eastAsia="zh-CN"/>
              </w:rPr>
            </w:pPr>
            <w:r>
              <w:rPr>
                <w:rFonts w:hint="eastAsia" w:asciiTheme="majorEastAsia" w:hAnsiTheme="majorEastAsia" w:eastAsiaTheme="majorEastAsia" w:cstheme="majorEastAsia"/>
                <w:i w:val="0"/>
                <w:color w:val="000000"/>
                <w:sz w:val="18"/>
                <w:szCs w:val="18"/>
                <w:u w:val="none"/>
                <w:lang w:val="en-US" w:eastAsia="zh-CN"/>
              </w:rPr>
              <w:t>5</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Theme="majorEastAsia" w:hAnsiTheme="majorEastAsia" w:eastAsiaTheme="majorEastAsia" w:cstheme="majorEastAsia"/>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9" w:hRule="atLeast"/>
        </w:trPr>
        <w:tc>
          <w:tcPr>
            <w:tcW w:w="7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ajorEastAsia" w:hAnsiTheme="majorEastAsia" w:eastAsiaTheme="majorEastAsia" w:cstheme="majorEastAsia"/>
                <w:i w:val="0"/>
                <w:color w:val="000000"/>
                <w:sz w:val="18"/>
                <w:szCs w:val="18"/>
                <w:u w:val="none"/>
              </w:rPr>
            </w:pPr>
          </w:p>
        </w:tc>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Theme="majorEastAsia" w:hAnsiTheme="majorEastAsia" w:eastAsiaTheme="majorEastAsia" w:cstheme="majorEastAsia"/>
                <w:i w:val="0"/>
                <w:color w:val="000000"/>
                <w:sz w:val="18"/>
                <w:szCs w:val="18"/>
                <w:u w:val="none"/>
              </w:rPr>
            </w:pP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ajorEastAsia" w:hAnsiTheme="majorEastAsia" w:eastAsiaTheme="majorEastAsia" w:cstheme="majorEastAsia"/>
                <w:i w:val="0"/>
                <w:color w:val="000000"/>
                <w:sz w:val="18"/>
                <w:szCs w:val="18"/>
                <w:u w:val="none"/>
              </w:rPr>
            </w:pPr>
          </w:p>
        </w:tc>
        <w:tc>
          <w:tcPr>
            <w:tcW w:w="14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“三公经费”控制率（%）</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≤100</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lang w:val="en-US"/>
              </w:rPr>
            </w:pPr>
            <w:r>
              <w:rPr>
                <w:rFonts w:hint="eastAsia" w:asciiTheme="majorEastAsia" w:hAnsiTheme="majorEastAsia" w:eastAsiaTheme="majorEastAsia" w:cstheme="majorEastAsia"/>
                <w:i w:val="0"/>
                <w:color w:val="000000"/>
                <w:kern w:val="0"/>
                <w:sz w:val="18"/>
                <w:szCs w:val="18"/>
                <w:u w:val="none"/>
                <w:lang w:val="en-US" w:eastAsia="zh-CN" w:bidi="ar"/>
              </w:rPr>
              <w:t>61.7</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5</w:t>
            </w:r>
          </w:p>
        </w:tc>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5</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Theme="majorEastAsia" w:hAnsiTheme="majorEastAsia" w:eastAsiaTheme="majorEastAsia" w:cstheme="majorEastAsia"/>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7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ajorEastAsia" w:hAnsiTheme="majorEastAsia" w:eastAsiaTheme="majorEastAsia" w:cstheme="majorEastAsia"/>
                <w:i w:val="0"/>
                <w:color w:val="000000"/>
                <w:sz w:val="18"/>
                <w:szCs w:val="18"/>
                <w:u w:val="none"/>
              </w:rPr>
            </w:pPr>
          </w:p>
        </w:tc>
        <w:tc>
          <w:tcPr>
            <w:tcW w:w="756"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效益指标（30）</w:t>
            </w:r>
          </w:p>
        </w:tc>
        <w:tc>
          <w:tcPr>
            <w:tcW w:w="107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经济效益指标</w:t>
            </w:r>
          </w:p>
        </w:tc>
        <w:tc>
          <w:tcPr>
            <w:tcW w:w="140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全年招商引资引进省外境内资金（亿元）</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lang w:val="en-US"/>
              </w:rPr>
            </w:pPr>
            <w:r>
              <w:rPr>
                <w:rFonts w:hint="eastAsia" w:asciiTheme="majorEastAsia" w:hAnsiTheme="majorEastAsia" w:eastAsiaTheme="majorEastAsia" w:cstheme="majorEastAsia"/>
                <w:i w:val="0"/>
                <w:color w:val="000000"/>
                <w:kern w:val="0"/>
                <w:sz w:val="18"/>
                <w:szCs w:val="18"/>
                <w:u w:val="none"/>
                <w:lang w:val="en-US" w:eastAsia="zh-CN" w:bidi="ar"/>
              </w:rPr>
              <w:t>204</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lang w:val="en-US"/>
              </w:rPr>
            </w:pPr>
            <w:r>
              <w:rPr>
                <w:rFonts w:hint="eastAsia" w:asciiTheme="majorEastAsia" w:hAnsiTheme="majorEastAsia" w:eastAsiaTheme="majorEastAsia" w:cstheme="majorEastAsia"/>
                <w:i w:val="0"/>
                <w:color w:val="000000"/>
                <w:kern w:val="0"/>
                <w:sz w:val="18"/>
                <w:szCs w:val="18"/>
                <w:u w:val="none"/>
                <w:lang w:val="en-US" w:eastAsia="zh-CN" w:bidi="ar"/>
              </w:rPr>
              <w:t>208.7</w:t>
            </w:r>
          </w:p>
        </w:tc>
        <w:tc>
          <w:tcPr>
            <w:tcW w:w="5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5</w:t>
            </w:r>
          </w:p>
        </w:tc>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5</w:t>
            </w:r>
          </w:p>
        </w:tc>
        <w:tc>
          <w:tcPr>
            <w:tcW w:w="13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Theme="majorEastAsia" w:hAnsiTheme="majorEastAsia" w:eastAsiaTheme="majorEastAsia" w:cstheme="majorEastAsia"/>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ajorEastAsia" w:hAnsiTheme="majorEastAsia" w:eastAsiaTheme="majorEastAsia" w:cstheme="majorEastAsia"/>
                <w:i w:val="0"/>
                <w:color w:val="000000"/>
                <w:sz w:val="18"/>
                <w:szCs w:val="18"/>
                <w:u w:val="none"/>
              </w:rPr>
            </w:pPr>
          </w:p>
        </w:tc>
        <w:tc>
          <w:tcPr>
            <w:tcW w:w="756"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ajorEastAsia" w:hAnsiTheme="majorEastAsia" w:eastAsiaTheme="majorEastAsia" w:cstheme="majorEastAsia"/>
                <w:i w:val="0"/>
                <w:color w:val="000000"/>
                <w:sz w:val="18"/>
                <w:szCs w:val="18"/>
                <w:u w:val="none"/>
              </w:rPr>
            </w:pPr>
          </w:p>
        </w:tc>
        <w:tc>
          <w:tcPr>
            <w:tcW w:w="1077"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ajorEastAsia" w:hAnsiTheme="majorEastAsia" w:eastAsiaTheme="majorEastAsia" w:cstheme="majorEastAsia"/>
                <w:i w:val="0"/>
                <w:color w:val="000000"/>
                <w:sz w:val="18"/>
                <w:szCs w:val="18"/>
                <w:u w:val="none"/>
              </w:rPr>
            </w:pPr>
          </w:p>
        </w:tc>
        <w:tc>
          <w:tcPr>
            <w:tcW w:w="140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电子商务交易额（亿元）</w:t>
            </w:r>
          </w:p>
        </w:tc>
        <w:tc>
          <w:tcPr>
            <w:tcW w:w="7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ajorEastAsia" w:hAnsiTheme="majorEastAsia" w:eastAsiaTheme="majorEastAsia" w:cstheme="majorEastAsia"/>
                <w:i w:val="0"/>
                <w:color w:val="000000"/>
                <w:sz w:val="18"/>
                <w:szCs w:val="18"/>
                <w:u w:val="none"/>
                <w:lang w:val="en-US"/>
              </w:rPr>
            </w:pPr>
            <w:r>
              <w:rPr>
                <w:rFonts w:hint="eastAsia" w:asciiTheme="majorEastAsia" w:hAnsiTheme="majorEastAsia" w:eastAsiaTheme="majorEastAsia" w:cstheme="majorEastAsia"/>
                <w:i w:val="0"/>
                <w:color w:val="000000"/>
                <w:kern w:val="0"/>
                <w:sz w:val="18"/>
                <w:szCs w:val="18"/>
                <w:u w:val="none"/>
                <w:lang w:val="en-US" w:eastAsia="zh-CN" w:bidi="ar"/>
              </w:rPr>
              <w:t>140</w:t>
            </w:r>
          </w:p>
        </w:tc>
        <w:tc>
          <w:tcPr>
            <w:tcW w:w="1231" w:type="dxa"/>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lang w:val="en-US"/>
              </w:rPr>
            </w:pPr>
            <w:r>
              <w:rPr>
                <w:rFonts w:hint="eastAsia" w:asciiTheme="majorEastAsia" w:hAnsiTheme="majorEastAsia" w:eastAsiaTheme="majorEastAsia" w:cstheme="majorEastAsia"/>
                <w:i w:val="0"/>
                <w:color w:val="000000"/>
                <w:kern w:val="0"/>
                <w:sz w:val="18"/>
                <w:szCs w:val="18"/>
                <w:u w:val="none"/>
                <w:lang w:val="en-US" w:eastAsia="zh-CN" w:bidi="ar"/>
              </w:rPr>
              <w:t>160.73</w:t>
            </w:r>
          </w:p>
        </w:tc>
        <w:tc>
          <w:tcPr>
            <w:tcW w:w="5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5</w:t>
            </w:r>
          </w:p>
        </w:tc>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5</w:t>
            </w:r>
          </w:p>
        </w:tc>
        <w:tc>
          <w:tcPr>
            <w:tcW w:w="13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Theme="majorEastAsia" w:hAnsiTheme="majorEastAsia" w:eastAsiaTheme="majorEastAsia" w:cstheme="majorEastAsia"/>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6" w:hRule="atLeast"/>
        </w:trPr>
        <w:tc>
          <w:tcPr>
            <w:tcW w:w="7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ajorEastAsia" w:hAnsiTheme="majorEastAsia" w:eastAsiaTheme="majorEastAsia" w:cstheme="majorEastAsia"/>
                <w:i w:val="0"/>
                <w:color w:val="000000"/>
                <w:sz w:val="18"/>
                <w:szCs w:val="18"/>
                <w:u w:val="none"/>
              </w:rPr>
            </w:pPr>
          </w:p>
        </w:tc>
        <w:tc>
          <w:tcPr>
            <w:tcW w:w="756"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ajorEastAsia" w:hAnsiTheme="majorEastAsia" w:eastAsiaTheme="majorEastAsia" w:cstheme="majorEastAsia"/>
                <w:i w:val="0"/>
                <w:color w:val="000000"/>
                <w:sz w:val="18"/>
                <w:szCs w:val="18"/>
                <w:u w:val="none"/>
              </w:rPr>
            </w:pPr>
          </w:p>
        </w:tc>
        <w:tc>
          <w:tcPr>
            <w:tcW w:w="1077"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ajorEastAsia" w:hAnsiTheme="majorEastAsia" w:eastAsiaTheme="majorEastAsia" w:cstheme="majorEastAsia"/>
                <w:i w:val="0"/>
                <w:color w:val="000000"/>
                <w:sz w:val="18"/>
                <w:szCs w:val="18"/>
                <w:u w:val="none"/>
              </w:rPr>
            </w:pPr>
          </w:p>
        </w:tc>
        <w:tc>
          <w:tcPr>
            <w:tcW w:w="140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利用外资（万美元）</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lang w:val="en-US"/>
              </w:rPr>
            </w:pPr>
            <w:r>
              <w:rPr>
                <w:rFonts w:hint="eastAsia" w:asciiTheme="majorEastAsia" w:hAnsiTheme="majorEastAsia" w:eastAsiaTheme="majorEastAsia" w:cstheme="majorEastAsia"/>
                <w:i w:val="0"/>
                <w:color w:val="000000"/>
                <w:kern w:val="0"/>
                <w:sz w:val="18"/>
                <w:szCs w:val="18"/>
                <w:u w:val="none"/>
                <w:lang w:val="en-US" w:eastAsia="zh-CN" w:bidi="ar"/>
              </w:rPr>
              <w:t>405</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lang w:val="en-US"/>
              </w:rPr>
            </w:pPr>
            <w:r>
              <w:rPr>
                <w:rFonts w:hint="eastAsia" w:asciiTheme="majorEastAsia" w:hAnsiTheme="majorEastAsia" w:eastAsiaTheme="majorEastAsia" w:cstheme="majorEastAsia"/>
                <w:i w:val="0"/>
                <w:color w:val="000000"/>
                <w:kern w:val="0"/>
                <w:sz w:val="18"/>
                <w:szCs w:val="18"/>
                <w:u w:val="none"/>
                <w:lang w:val="en-US" w:eastAsia="zh-CN" w:bidi="ar"/>
              </w:rPr>
              <w:t>609</w:t>
            </w:r>
          </w:p>
        </w:tc>
        <w:tc>
          <w:tcPr>
            <w:tcW w:w="5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5</w:t>
            </w:r>
          </w:p>
        </w:tc>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5</w:t>
            </w:r>
          </w:p>
        </w:tc>
        <w:tc>
          <w:tcPr>
            <w:tcW w:w="13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Theme="majorEastAsia" w:hAnsiTheme="majorEastAsia" w:eastAsiaTheme="majorEastAsia" w:cstheme="majorEastAsia"/>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63" w:hRule="atLeast"/>
        </w:trPr>
        <w:tc>
          <w:tcPr>
            <w:tcW w:w="7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ajorEastAsia" w:hAnsiTheme="majorEastAsia" w:eastAsiaTheme="majorEastAsia" w:cstheme="majorEastAsia"/>
                <w:i w:val="0"/>
                <w:color w:val="000000"/>
                <w:sz w:val="18"/>
                <w:szCs w:val="18"/>
                <w:u w:val="none"/>
              </w:rPr>
            </w:pPr>
          </w:p>
        </w:tc>
        <w:tc>
          <w:tcPr>
            <w:tcW w:w="756"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ajorEastAsia" w:hAnsiTheme="majorEastAsia" w:eastAsiaTheme="majorEastAsia" w:cstheme="majorEastAsia"/>
                <w:i w:val="0"/>
                <w:color w:val="000000"/>
                <w:sz w:val="18"/>
                <w:szCs w:val="18"/>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社会效益指标</w:t>
            </w:r>
          </w:p>
        </w:tc>
        <w:tc>
          <w:tcPr>
            <w:tcW w:w="14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助企纾困解难</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为企业排忧解难</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印发《全州商务系统“百名干部联百企”排忧解难促发展行动工作方案》，联系133家企业提供“一对一”保姆式服务</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5</w:t>
            </w:r>
          </w:p>
        </w:tc>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4</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sz w:val="18"/>
                <w:szCs w:val="18"/>
                <w:u w:val="none"/>
              </w:rPr>
              <w:t>进一步加强和企业的联系，服务企业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5" w:hRule="atLeast"/>
        </w:trPr>
        <w:tc>
          <w:tcPr>
            <w:tcW w:w="7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ajorEastAsia" w:hAnsiTheme="majorEastAsia" w:eastAsiaTheme="majorEastAsia" w:cstheme="majorEastAsia"/>
                <w:i w:val="0"/>
                <w:color w:val="000000"/>
                <w:sz w:val="18"/>
                <w:szCs w:val="18"/>
                <w:u w:val="none"/>
              </w:rPr>
            </w:pPr>
          </w:p>
        </w:tc>
        <w:tc>
          <w:tcPr>
            <w:tcW w:w="756"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ajorEastAsia" w:hAnsiTheme="majorEastAsia" w:eastAsiaTheme="majorEastAsia" w:cstheme="majorEastAsia"/>
                <w:i w:val="0"/>
                <w:color w:val="000000"/>
                <w:sz w:val="18"/>
                <w:szCs w:val="18"/>
                <w:u w:val="none"/>
              </w:rPr>
            </w:pPr>
          </w:p>
        </w:tc>
        <w:tc>
          <w:tcPr>
            <w:tcW w:w="10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可持续影响指标</w:t>
            </w:r>
          </w:p>
        </w:tc>
        <w:tc>
          <w:tcPr>
            <w:tcW w:w="14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是否可长年推动经济发展</w:t>
            </w:r>
          </w:p>
        </w:tc>
        <w:tc>
          <w:tcPr>
            <w:tcW w:w="70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是</w:t>
            </w:r>
          </w:p>
        </w:tc>
        <w:tc>
          <w:tcPr>
            <w:tcW w:w="123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是</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5</w:t>
            </w:r>
          </w:p>
        </w:tc>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4</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通过展会、博览会、推介会等带动经济增长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5" w:hRule="atLeast"/>
        </w:trPr>
        <w:tc>
          <w:tcPr>
            <w:tcW w:w="7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ajorEastAsia" w:hAnsiTheme="majorEastAsia" w:eastAsiaTheme="majorEastAsia" w:cstheme="majorEastAsia"/>
                <w:i w:val="0"/>
                <w:color w:val="000000"/>
                <w:sz w:val="18"/>
                <w:szCs w:val="18"/>
                <w:u w:val="none"/>
              </w:rPr>
            </w:pPr>
          </w:p>
        </w:tc>
        <w:tc>
          <w:tcPr>
            <w:tcW w:w="756"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ajorEastAsia" w:hAnsiTheme="majorEastAsia" w:eastAsiaTheme="majorEastAsia" w:cstheme="majorEastAsia"/>
                <w:i w:val="0"/>
                <w:color w:val="000000"/>
                <w:sz w:val="18"/>
                <w:szCs w:val="18"/>
                <w:u w:val="none"/>
              </w:rPr>
            </w:pP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ajorEastAsia" w:hAnsiTheme="majorEastAsia" w:eastAsiaTheme="majorEastAsia" w:cstheme="majorEastAsia"/>
                <w:i w:val="0"/>
                <w:color w:val="000000"/>
                <w:sz w:val="18"/>
                <w:szCs w:val="18"/>
                <w:u w:val="none"/>
              </w:rPr>
            </w:pPr>
          </w:p>
        </w:tc>
        <w:tc>
          <w:tcPr>
            <w:tcW w:w="14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是否拉动市场消费</w:t>
            </w:r>
          </w:p>
        </w:tc>
        <w:tc>
          <w:tcPr>
            <w:tcW w:w="70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是</w:t>
            </w:r>
          </w:p>
        </w:tc>
        <w:tc>
          <w:tcPr>
            <w:tcW w:w="123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是</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5</w:t>
            </w:r>
          </w:p>
        </w:tc>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4</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通过一系列促消费活动，激活市场消费潜力，增强消费拉动经济增长拉动作用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trPr>
        <w:tc>
          <w:tcPr>
            <w:tcW w:w="7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ajorEastAsia" w:hAnsiTheme="majorEastAsia" w:eastAsiaTheme="majorEastAsia" w:cstheme="majorEastAsia"/>
                <w:i w:val="0"/>
                <w:color w:val="000000"/>
                <w:sz w:val="18"/>
                <w:szCs w:val="18"/>
                <w:u w:val="none"/>
              </w:rPr>
            </w:pPr>
          </w:p>
        </w:tc>
        <w:tc>
          <w:tcPr>
            <w:tcW w:w="7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满意度指标（10分）</w:t>
            </w:r>
          </w:p>
        </w:tc>
        <w:tc>
          <w:tcPr>
            <w:tcW w:w="10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服务对象满意度指标</w:t>
            </w:r>
          </w:p>
        </w:tc>
        <w:tc>
          <w:tcPr>
            <w:tcW w:w="140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lang w:val="en-US"/>
              </w:rPr>
            </w:pPr>
            <w:r>
              <w:rPr>
                <w:rFonts w:hint="eastAsia" w:asciiTheme="majorEastAsia" w:hAnsiTheme="majorEastAsia" w:eastAsiaTheme="majorEastAsia" w:cstheme="majorEastAsia"/>
                <w:i w:val="0"/>
                <w:color w:val="000000"/>
                <w:kern w:val="0"/>
                <w:sz w:val="18"/>
                <w:szCs w:val="18"/>
                <w:u w:val="none"/>
                <w:lang w:val="en-US" w:eastAsia="zh-CN" w:bidi="ar"/>
              </w:rPr>
              <w:t>社会公众满意度（%）</w:t>
            </w:r>
          </w:p>
        </w:tc>
        <w:tc>
          <w:tcPr>
            <w:tcW w:w="7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≥90</w:t>
            </w:r>
          </w:p>
        </w:tc>
        <w:tc>
          <w:tcPr>
            <w:tcW w:w="12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95%以上</w:t>
            </w:r>
          </w:p>
        </w:tc>
        <w:tc>
          <w:tcPr>
            <w:tcW w:w="5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5</w:t>
            </w:r>
          </w:p>
        </w:tc>
        <w:tc>
          <w:tcPr>
            <w:tcW w:w="6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5</w:t>
            </w:r>
          </w:p>
        </w:tc>
        <w:tc>
          <w:tcPr>
            <w:tcW w:w="13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7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ajorEastAsia" w:hAnsiTheme="majorEastAsia" w:eastAsiaTheme="majorEastAsia" w:cstheme="majorEastAsia"/>
                <w:i w:val="0"/>
                <w:color w:val="000000"/>
                <w:sz w:val="18"/>
                <w:szCs w:val="18"/>
                <w:u w:val="none"/>
              </w:rPr>
            </w:pPr>
          </w:p>
        </w:tc>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ajorEastAsia" w:hAnsiTheme="majorEastAsia" w:eastAsiaTheme="majorEastAsia" w:cstheme="majorEastAsia"/>
                <w:i w:val="0"/>
                <w:color w:val="000000"/>
                <w:sz w:val="18"/>
                <w:szCs w:val="18"/>
                <w:u w:val="none"/>
              </w:rPr>
            </w:pP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ajorEastAsia" w:hAnsiTheme="majorEastAsia" w:eastAsiaTheme="majorEastAsia" w:cstheme="majorEastAsia"/>
                <w:i w:val="0"/>
                <w:color w:val="000000"/>
                <w:sz w:val="18"/>
                <w:szCs w:val="18"/>
                <w:u w:val="none"/>
              </w:rPr>
            </w:pPr>
          </w:p>
        </w:tc>
        <w:tc>
          <w:tcPr>
            <w:tcW w:w="140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ajorEastAsia" w:hAnsiTheme="majorEastAsia" w:eastAsiaTheme="majorEastAsia" w:cstheme="majorEastAsia"/>
                <w:i w:val="0"/>
                <w:color w:val="000000"/>
                <w:sz w:val="18"/>
                <w:szCs w:val="18"/>
                <w:u w:val="none"/>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ajorEastAsia" w:hAnsiTheme="majorEastAsia" w:eastAsiaTheme="majorEastAsia" w:cstheme="majorEastAsia"/>
                <w:i w:val="0"/>
                <w:color w:val="000000"/>
                <w:sz w:val="18"/>
                <w:szCs w:val="18"/>
                <w:u w:val="none"/>
              </w:rPr>
            </w:pPr>
          </w:p>
        </w:tc>
        <w:tc>
          <w:tcPr>
            <w:tcW w:w="12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ajorEastAsia" w:hAnsiTheme="majorEastAsia" w:eastAsiaTheme="majorEastAsia" w:cstheme="majorEastAsia"/>
                <w:i w:val="0"/>
                <w:color w:val="000000"/>
                <w:sz w:val="18"/>
                <w:szCs w:val="18"/>
                <w:u w:val="none"/>
              </w:rPr>
            </w:pPr>
          </w:p>
        </w:tc>
        <w:tc>
          <w:tcPr>
            <w:tcW w:w="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ajorEastAsia" w:hAnsiTheme="majorEastAsia" w:eastAsiaTheme="majorEastAsia" w:cstheme="majorEastAsia"/>
                <w:i w:val="0"/>
                <w:color w:val="000000"/>
                <w:sz w:val="18"/>
                <w:szCs w:val="18"/>
                <w:u w:val="none"/>
              </w:rPr>
            </w:pPr>
          </w:p>
        </w:tc>
        <w:tc>
          <w:tcPr>
            <w:tcW w:w="6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ajorEastAsia" w:hAnsiTheme="majorEastAsia" w:eastAsiaTheme="majorEastAsia" w:cstheme="majorEastAsia"/>
                <w:i w:val="0"/>
                <w:color w:val="000000"/>
                <w:sz w:val="18"/>
                <w:szCs w:val="18"/>
                <w:u w:val="none"/>
              </w:rPr>
            </w:pPr>
          </w:p>
        </w:tc>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Theme="majorEastAsia" w:hAnsiTheme="majorEastAsia" w:eastAsiaTheme="majorEastAsia" w:cstheme="majorEastAsia"/>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7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ajorEastAsia" w:hAnsiTheme="majorEastAsia" w:eastAsiaTheme="majorEastAsia" w:cstheme="majorEastAsia"/>
                <w:i w:val="0"/>
                <w:color w:val="000000"/>
                <w:sz w:val="18"/>
                <w:szCs w:val="18"/>
                <w:u w:val="none"/>
              </w:rPr>
            </w:pPr>
          </w:p>
        </w:tc>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ajorEastAsia" w:hAnsiTheme="majorEastAsia" w:eastAsiaTheme="majorEastAsia" w:cstheme="majorEastAsia"/>
                <w:i w:val="0"/>
                <w:color w:val="000000"/>
                <w:sz w:val="18"/>
                <w:szCs w:val="18"/>
                <w:u w:val="none"/>
              </w:rPr>
            </w:pP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ajorEastAsia" w:hAnsiTheme="majorEastAsia" w:eastAsiaTheme="majorEastAsia" w:cstheme="majorEastAsia"/>
                <w:i w:val="0"/>
                <w:color w:val="000000"/>
                <w:sz w:val="18"/>
                <w:szCs w:val="18"/>
                <w:u w:val="none"/>
              </w:rPr>
            </w:pPr>
          </w:p>
        </w:tc>
        <w:tc>
          <w:tcPr>
            <w:tcW w:w="14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lang w:val="en-US"/>
              </w:rPr>
            </w:pPr>
            <w:r>
              <w:rPr>
                <w:rFonts w:hint="eastAsia" w:asciiTheme="majorEastAsia" w:hAnsiTheme="majorEastAsia" w:eastAsiaTheme="majorEastAsia" w:cstheme="majorEastAsia"/>
                <w:i w:val="0"/>
                <w:color w:val="000000"/>
                <w:kern w:val="0"/>
                <w:sz w:val="18"/>
                <w:szCs w:val="18"/>
                <w:u w:val="none"/>
                <w:lang w:val="en-US" w:eastAsia="zh-CN" w:bidi="ar"/>
              </w:rPr>
              <w:t>服务对象满意度（%）</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≥90</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95%以收</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5</w:t>
            </w:r>
          </w:p>
        </w:tc>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5</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Theme="majorEastAsia" w:hAnsiTheme="majorEastAsia" w:eastAsiaTheme="majorEastAsia" w:cstheme="majorEastAsia"/>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trPr>
        <w:tc>
          <w:tcPr>
            <w:tcW w:w="5969"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总分</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100</w:t>
            </w:r>
          </w:p>
        </w:tc>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ajorEastAsia" w:hAnsiTheme="majorEastAsia" w:eastAsiaTheme="majorEastAsia" w:cstheme="majorEastAsia"/>
                <w:i w:val="0"/>
                <w:color w:val="000000"/>
                <w:sz w:val="18"/>
                <w:szCs w:val="18"/>
                <w:u w:val="none"/>
                <w:lang w:val="en-US"/>
              </w:rPr>
            </w:pPr>
            <w:r>
              <w:rPr>
                <w:rFonts w:hint="eastAsia" w:asciiTheme="majorEastAsia" w:hAnsiTheme="majorEastAsia" w:eastAsiaTheme="majorEastAsia" w:cstheme="majorEastAsia"/>
                <w:i w:val="0"/>
                <w:color w:val="000000"/>
                <w:kern w:val="0"/>
                <w:sz w:val="18"/>
                <w:szCs w:val="18"/>
                <w:u w:val="none"/>
                <w:lang w:val="en-US" w:eastAsia="zh-CN" w:bidi="ar"/>
              </w:rPr>
              <w:t>97</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Theme="majorEastAsia" w:hAnsiTheme="majorEastAsia" w:eastAsiaTheme="majorEastAsia" w:cstheme="majorEastAsia"/>
                <w:i w:val="0"/>
                <w:color w:val="000000"/>
                <w:sz w:val="18"/>
                <w:szCs w:val="18"/>
                <w:u w:val="none"/>
              </w:rPr>
            </w:pPr>
          </w:p>
        </w:tc>
      </w:tr>
    </w:tbl>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5" w:beforeAutospacing="0" w:after="0" w:afterAutospacing="0" w:line="20" w:lineRule="atLeast"/>
        <w:ind w:left="0" w:right="0" w:firstLine="0"/>
        <w:jc w:val="left"/>
        <w:textAlignment w:val="center"/>
        <w:rPr>
          <w:rFonts w:hint="eastAsia" w:asciiTheme="majorEastAsia" w:hAnsiTheme="majorEastAsia" w:eastAsiaTheme="majorEastAsia" w:cstheme="majorEastAsia"/>
          <w:i w:val="0"/>
          <w:iCs w:val="0"/>
          <w:caps w:val="0"/>
          <w:color w:val="333333"/>
          <w:spacing w:val="0"/>
          <w:sz w:val="18"/>
          <w:szCs w:val="18"/>
        </w:rPr>
      </w:pPr>
      <w:r>
        <w:rPr>
          <w:rFonts w:hint="eastAsia" w:asciiTheme="majorEastAsia" w:hAnsiTheme="majorEastAsia" w:eastAsiaTheme="majorEastAsia" w:cstheme="majorEastAsia"/>
          <w:i w:val="0"/>
          <w:iCs w:val="0"/>
          <w:caps w:val="0"/>
          <w:color w:val="333333"/>
          <w:spacing w:val="0"/>
          <w:sz w:val="18"/>
          <w:szCs w:val="18"/>
        </w:rPr>
        <w:t>单位负责人签字：杨凌 </w:t>
      </w:r>
      <w:r>
        <w:rPr>
          <w:rFonts w:hint="eastAsia" w:asciiTheme="majorEastAsia" w:hAnsiTheme="majorEastAsia" w:eastAsiaTheme="majorEastAsia" w:cstheme="majorEastAsia"/>
          <w:i w:val="0"/>
          <w:iCs w:val="0"/>
          <w:caps w:val="0"/>
          <w:color w:val="333333"/>
          <w:spacing w:val="0"/>
          <w:sz w:val="18"/>
          <w:szCs w:val="18"/>
          <w:lang w:val="en-US" w:eastAsia="zh-CN"/>
        </w:rPr>
        <w:t xml:space="preserve">     </w:t>
      </w:r>
      <w:r>
        <w:rPr>
          <w:rFonts w:hint="eastAsia" w:asciiTheme="majorEastAsia" w:hAnsiTheme="majorEastAsia" w:eastAsiaTheme="majorEastAsia" w:cstheme="majorEastAsia"/>
          <w:i w:val="0"/>
          <w:iCs w:val="0"/>
          <w:caps w:val="0"/>
          <w:color w:val="333333"/>
          <w:spacing w:val="0"/>
          <w:sz w:val="18"/>
          <w:szCs w:val="18"/>
        </w:rPr>
        <w:t>填表人：彭艳 </w:t>
      </w:r>
      <w:r>
        <w:rPr>
          <w:rFonts w:hint="eastAsia" w:asciiTheme="majorEastAsia" w:hAnsiTheme="majorEastAsia" w:eastAsiaTheme="majorEastAsia" w:cstheme="majorEastAsia"/>
          <w:i w:val="0"/>
          <w:iCs w:val="0"/>
          <w:caps w:val="0"/>
          <w:color w:val="333333"/>
          <w:spacing w:val="0"/>
          <w:sz w:val="18"/>
          <w:szCs w:val="18"/>
          <w:lang w:val="en-US" w:eastAsia="zh-CN"/>
        </w:rPr>
        <w:t xml:space="preserve">    </w:t>
      </w:r>
      <w:r>
        <w:rPr>
          <w:rFonts w:hint="eastAsia" w:asciiTheme="majorEastAsia" w:hAnsiTheme="majorEastAsia" w:eastAsiaTheme="majorEastAsia" w:cstheme="majorEastAsia"/>
          <w:i w:val="0"/>
          <w:iCs w:val="0"/>
          <w:caps w:val="0"/>
          <w:color w:val="333333"/>
          <w:spacing w:val="0"/>
          <w:sz w:val="18"/>
          <w:szCs w:val="18"/>
        </w:rPr>
        <w:t xml:space="preserve">联系电话： 8528269 </w:t>
      </w:r>
      <w:r>
        <w:rPr>
          <w:rFonts w:hint="eastAsia" w:asciiTheme="majorEastAsia" w:hAnsiTheme="majorEastAsia" w:eastAsiaTheme="majorEastAsia" w:cstheme="majorEastAsia"/>
          <w:i w:val="0"/>
          <w:iCs w:val="0"/>
          <w:caps w:val="0"/>
          <w:color w:val="333333"/>
          <w:spacing w:val="0"/>
          <w:sz w:val="18"/>
          <w:szCs w:val="18"/>
          <w:lang w:val="en-US" w:eastAsia="zh-CN"/>
        </w:rPr>
        <w:t xml:space="preserve">    </w:t>
      </w:r>
      <w:r>
        <w:rPr>
          <w:rFonts w:hint="eastAsia" w:asciiTheme="majorEastAsia" w:hAnsiTheme="majorEastAsia" w:eastAsiaTheme="majorEastAsia" w:cstheme="majorEastAsia"/>
          <w:i w:val="0"/>
          <w:iCs w:val="0"/>
          <w:caps w:val="0"/>
          <w:color w:val="333333"/>
          <w:spacing w:val="0"/>
          <w:sz w:val="18"/>
          <w:szCs w:val="18"/>
        </w:rPr>
        <w:t>填报日期：202</w:t>
      </w:r>
      <w:r>
        <w:rPr>
          <w:rFonts w:hint="eastAsia" w:asciiTheme="majorEastAsia" w:hAnsiTheme="majorEastAsia" w:eastAsiaTheme="majorEastAsia" w:cstheme="majorEastAsia"/>
          <w:i w:val="0"/>
          <w:iCs w:val="0"/>
          <w:caps w:val="0"/>
          <w:color w:val="333333"/>
          <w:spacing w:val="0"/>
          <w:sz w:val="18"/>
          <w:szCs w:val="18"/>
          <w:lang w:val="en-US" w:eastAsia="zh-CN"/>
        </w:rPr>
        <w:t>3</w:t>
      </w:r>
      <w:r>
        <w:rPr>
          <w:rFonts w:hint="eastAsia" w:asciiTheme="majorEastAsia" w:hAnsiTheme="majorEastAsia" w:eastAsiaTheme="majorEastAsia" w:cstheme="majorEastAsia"/>
          <w:i w:val="0"/>
          <w:iCs w:val="0"/>
          <w:caps w:val="0"/>
          <w:color w:val="333333"/>
          <w:spacing w:val="0"/>
          <w:sz w:val="18"/>
          <w:szCs w:val="18"/>
        </w:rPr>
        <w:t>年 6月1日</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5" w:beforeAutospacing="0" w:after="0" w:afterAutospacing="0" w:line="20" w:lineRule="atLeast"/>
        <w:ind w:left="0" w:right="0" w:firstLine="0"/>
        <w:jc w:val="left"/>
        <w:textAlignment w:val="center"/>
        <w:rPr>
          <w:rFonts w:hint="eastAsia" w:asciiTheme="majorEastAsia" w:hAnsiTheme="majorEastAsia" w:eastAsiaTheme="majorEastAsia" w:cstheme="majorEastAsia"/>
          <w:i w:val="0"/>
          <w:iCs w:val="0"/>
          <w:caps w:val="0"/>
          <w:color w:val="333333"/>
          <w:spacing w:val="0"/>
          <w:sz w:val="18"/>
          <w:szCs w:val="18"/>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center"/>
        <w:rPr>
          <w:rFonts w:hint="default" w:ascii="方正小标宋_GBK" w:hAnsi="方正小标宋_GBK" w:eastAsia="方正小标宋_GBK" w:cs="方正小标宋_GBK"/>
          <w:kern w:val="2"/>
          <w:sz w:val="32"/>
          <w:szCs w:val="32"/>
          <w:lang w:val="en" w:eastAsia="zh-CN" w:bidi="ar-SA"/>
        </w:rPr>
      </w:pPr>
      <w:r>
        <w:rPr>
          <w:rFonts w:hint="eastAsia" w:eastAsia="仿宋_GB2312" w:cs="仿宋_GB2312"/>
          <w:kern w:val="2"/>
          <w:sz w:val="32"/>
          <w:szCs w:val="32"/>
          <w:lang w:val="en-US" w:eastAsia="zh-CN" w:bidi="ar-SA"/>
        </w:rPr>
        <w:t>附件3</w:t>
      </w:r>
      <w:r>
        <w:rPr>
          <w:rFonts w:hint="default" w:eastAsia="仿宋_GB2312" w:cs="仿宋_GB2312"/>
          <w:kern w:val="2"/>
          <w:sz w:val="32"/>
          <w:szCs w:val="32"/>
          <w:lang w:val="en" w:eastAsia="zh-CN" w:bidi="ar-SA"/>
        </w:rPr>
        <w:t>-1</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5" w:beforeAutospacing="0" w:after="0" w:afterAutospacing="0" w:line="20" w:lineRule="atLeast"/>
        <w:ind w:left="0" w:right="0" w:firstLine="0"/>
        <w:jc w:val="center"/>
        <w:textAlignment w:val="center"/>
        <w:rPr>
          <w:rFonts w:hint="eastAsia" w:ascii="方正小标宋_GBK" w:hAnsi="方正小标宋_GBK" w:eastAsia="方正小标宋_GBK" w:cs="方正小标宋_GBK"/>
          <w:i w:val="0"/>
          <w:iCs w:val="0"/>
          <w:caps w:val="0"/>
          <w:color w:val="333333"/>
          <w:spacing w:val="0"/>
          <w:sz w:val="44"/>
          <w:szCs w:val="44"/>
        </w:rPr>
      </w:pPr>
      <w:r>
        <w:rPr>
          <w:rFonts w:hint="eastAsia" w:ascii="方正小标宋_GBK" w:hAnsi="方正小标宋_GBK" w:eastAsia="方正小标宋_GBK" w:cs="方正小标宋_GBK"/>
          <w:i w:val="0"/>
          <w:iCs w:val="0"/>
          <w:caps w:val="0"/>
          <w:color w:val="333333"/>
          <w:spacing w:val="0"/>
          <w:sz w:val="44"/>
          <w:szCs w:val="44"/>
        </w:rPr>
        <w:t>州级预算部门项目支出绩效自评表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（2022年度）</w:t>
      </w:r>
    </w:p>
    <w:tbl>
      <w:tblPr>
        <w:tblStyle w:val="10"/>
        <w:tblW w:w="896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31"/>
        <w:gridCol w:w="732"/>
        <w:gridCol w:w="714"/>
        <w:gridCol w:w="1062"/>
        <w:gridCol w:w="850"/>
        <w:gridCol w:w="2001"/>
        <w:gridCol w:w="732"/>
        <w:gridCol w:w="732"/>
        <w:gridCol w:w="14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sz w:val="18"/>
                <w:szCs w:val="18"/>
                <w:u w:val="none"/>
              </w:rPr>
            </w:pPr>
            <w:r>
              <w:rPr>
                <w:rStyle w:val="21"/>
                <w:rFonts w:hint="eastAsia" w:asciiTheme="majorEastAsia" w:hAnsiTheme="majorEastAsia" w:eastAsiaTheme="majorEastAsia" w:cstheme="majorEastAsia"/>
                <w:sz w:val="18"/>
                <w:szCs w:val="18"/>
                <w:lang w:val="en-US" w:eastAsia="zh-CN" w:bidi="ar"/>
              </w:rPr>
              <w:t>项目</w:t>
            </w:r>
            <w:r>
              <w:rPr>
                <w:rStyle w:val="22"/>
                <w:rFonts w:hint="eastAsia" w:asciiTheme="majorEastAsia" w:hAnsiTheme="majorEastAsia" w:eastAsiaTheme="majorEastAsia" w:cstheme="majorEastAsia"/>
                <w:sz w:val="18"/>
                <w:szCs w:val="18"/>
                <w:lang w:val="en-US" w:eastAsia="zh-CN" w:bidi="ar"/>
              </w:rPr>
              <w:t>支出</w:t>
            </w:r>
            <w:r>
              <w:rPr>
                <w:rStyle w:val="21"/>
                <w:rFonts w:hint="eastAsia" w:asciiTheme="majorEastAsia" w:hAnsiTheme="majorEastAsia" w:eastAsiaTheme="majorEastAsia" w:cstheme="majorEastAsia"/>
                <w:sz w:val="18"/>
                <w:szCs w:val="18"/>
                <w:lang w:val="en-US" w:eastAsia="zh-CN" w:bidi="ar"/>
              </w:rPr>
              <w:br w:type="textWrapping"/>
            </w:r>
            <w:r>
              <w:rPr>
                <w:rStyle w:val="22"/>
                <w:rFonts w:hint="eastAsia" w:asciiTheme="majorEastAsia" w:hAnsiTheme="majorEastAsia" w:eastAsiaTheme="majorEastAsia" w:cstheme="majorEastAsia"/>
                <w:sz w:val="18"/>
                <w:szCs w:val="18"/>
                <w:lang w:val="en-US" w:eastAsia="zh-CN" w:bidi="ar"/>
              </w:rPr>
              <w:t>名称</w:t>
            </w:r>
          </w:p>
        </w:tc>
        <w:tc>
          <w:tcPr>
            <w:tcW w:w="8238" w:type="dxa"/>
            <w:gridSpan w:val="8"/>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i w:val="0"/>
                <w:color w:val="000000"/>
                <w:sz w:val="18"/>
                <w:szCs w:val="18"/>
                <w:u w:val="none"/>
              </w:rPr>
            </w:pPr>
            <w:r>
              <w:rPr>
                <w:rFonts w:hint="eastAsia" w:asciiTheme="majorEastAsia" w:hAnsiTheme="majorEastAsia" w:eastAsiaTheme="majorEastAsia" w:cstheme="majorEastAsia"/>
                <w:b/>
                <w:i w:val="0"/>
                <w:color w:val="000000"/>
                <w:kern w:val="0"/>
                <w:sz w:val="18"/>
                <w:szCs w:val="18"/>
                <w:u w:val="none"/>
                <w:lang w:val="en-US" w:eastAsia="zh-CN" w:bidi="ar"/>
              </w:rPr>
              <w:t>开放型经济专项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c>
          <w:tcPr>
            <w:tcW w:w="8238" w:type="dxa"/>
            <w:gridSpan w:val="8"/>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4"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sz w:val="18"/>
                <w:szCs w:val="18"/>
                <w:u w:val="none"/>
              </w:rPr>
            </w:pPr>
            <w:r>
              <w:rPr>
                <w:rStyle w:val="21"/>
                <w:rFonts w:hint="eastAsia" w:asciiTheme="majorEastAsia" w:hAnsiTheme="majorEastAsia" w:eastAsiaTheme="majorEastAsia" w:cstheme="majorEastAsia"/>
                <w:sz w:val="18"/>
                <w:szCs w:val="18"/>
                <w:lang w:val="en-US" w:eastAsia="zh-CN" w:bidi="ar"/>
              </w:rPr>
              <w:t>主管部</w:t>
            </w:r>
            <w:r>
              <w:rPr>
                <w:rStyle w:val="22"/>
                <w:rFonts w:hint="eastAsia" w:asciiTheme="majorEastAsia" w:hAnsiTheme="majorEastAsia" w:eastAsiaTheme="majorEastAsia" w:cstheme="majorEastAsia"/>
                <w:sz w:val="18"/>
                <w:szCs w:val="18"/>
                <w:lang w:val="en-US" w:eastAsia="zh-CN" w:bidi="ar"/>
              </w:rPr>
              <w:t>门</w:t>
            </w:r>
          </w:p>
        </w:tc>
        <w:tc>
          <w:tcPr>
            <w:tcW w:w="335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州商务局</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sz w:val="18"/>
                <w:szCs w:val="18"/>
                <w:u w:val="none"/>
              </w:rPr>
            </w:pPr>
            <w:r>
              <w:rPr>
                <w:rStyle w:val="23"/>
                <w:rFonts w:hint="eastAsia" w:asciiTheme="majorEastAsia" w:hAnsiTheme="majorEastAsia" w:eastAsiaTheme="majorEastAsia" w:cstheme="majorEastAsia"/>
                <w:sz w:val="18"/>
                <w:szCs w:val="18"/>
                <w:lang w:val="en-US" w:eastAsia="zh-CN" w:bidi="ar"/>
              </w:rPr>
              <w:t>实施单</w:t>
            </w:r>
            <w:r>
              <w:rPr>
                <w:rStyle w:val="24"/>
                <w:rFonts w:hint="eastAsia" w:asciiTheme="majorEastAsia" w:hAnsiTheme="majorEastAsia" w:eastAsiaTheme="majorEastAsia" w:cstheme="majorEastAsia"/>
                <w:sz w:val="18"/>
                <w:szCs w:val="18"/>
                <w:lang w:val="en-US" w:eastAsia="zh-CN" w:bidi="ar"/>
              </w:rPr>
              <w:t>位</w:t>
            </w:r>
          </w:p>
        </w:tc>
        <w:tc>
          <w:tcPr>
            <w:tcW w:w="287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州商务局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trPr>
        <w:tc>
          <w:tcPr>
            <w:tcW w:w="7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项目资金（万元）</w:t>
            </w:r>
          </w:p>
        </w:tc>
        <w:tc>
          <w:tcPr>
            <w:tcW w:w="144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Theme="majorEastAsia" w:hAnsiTheme="majorEastAsia" w:eastAsiaTheme="majorEastAsia" w:cstheme="majorEastAsia"/>
                <w:i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sz w:val="18"/>
                <w:szCs w:val="18"/>
                <w:u w:val="none"/>
              </w:rPr>
            </w:pPr>
            <w:r>
              <w:rPr>
                <w:rStyle w:val="23"/>
                <w:rFonts w:hint="eastAsia" w:asciiTheme="majorEastAsia" w:hAnsiTheme="majorEastAsia" w:eastAsiaTheme="majorEastAsia" w:cstheme="majorEastAsia"/>
                <w:sz w:val="18"/>
                <w:szCs w:val="18"/>
                <w:lang w:val="en-US" w:eastAsia="zh-CN" w:bidi="ar"/>
              </w:rPr>
              <w:t>年</w:t>
            </w:r>
            <w:r>
              <w:rPr>
                <w:rStyle w:val="24"/>
                <w:rFonts w:hint="eastAsia" w:asciiTheme="majorEastAsia" w:hAnsiTheme="majorEastAsia" w:eastAsiaTheme="majorEastAsia" w:cstheme="majorEastAsia"/>
                <w:sz w:val="18"/>
                <w:szCs w:val="18"/>
                <w:lang w:val="en-US" w:eastAsia="zh-CN" w:bidi="ar"/>
              </w:rPr>
              <w:t>初</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sz w:val="18"/>
                <w:szCs w:val="18"/>
                <w:u w:val="none"/>
              </w:rPr>
            </w:pPr>
            <w:r>
              <w:rPr>
                <w:rStyle w:val="23"/>
                <w:rFonts w:hint="eastAsia" w:asciiTheme="majorEastAsia" w:hAnsiTheme="majorEastAsia" w:eastAsiaTheme="majorEastAsia" w:cstheme="majorEastAsia"/>
                <w:sz w:val="18"/>
                <w:szCs w:val="18"/>
                <w:lang w:val="en-US" w:eastAsia="zh-CN" w:bidi="ar"/>
              </w:rPr>
              <w:t>全</w:t>
            </w:r>
            <w:r>
              <w:rPr>
                <w:rStyle w:val="24"/>
                <w:rFonts w:hint="eastAsia" w:asciiTheme="majorEastAsia" w:hAnsiTheme="majorEastAsia" w:eastAsiaTheme="majorEastAsia" w:cstheme="majorEastAsia"/>
                <w:sz w:val="18"/>
                <w:szCs w:val="18"/>
                <w:lang w:val="en-US" w:eastAsia="zh-CN" w:bidi="ar"/>
              </w:rPr>
              <w:t>年</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sz w:val="18"/>
                <w:szCs w:val="18"/>
                <w:u w:val="none"/>
              </w:rPr>
            </w:pPr>
            <w:r>
              <w:rPr>
                <w:rStyle w:val="25"/>
                <w:rFonts w:hint="eastAsia" w:asciiTheme="majorEastAsia" w:hAnsiTheme="majorEastAsia" w:eastAsiaTheme="majorEastAsia" w:cstheme="majorEastAsia"/>
                <w:sz w:val="18"/>
                <w:szCs w:val="18"/>
                <w:lang w:val="en-US" w:eastAsia="zh-CN" w:bidi="ar"/>
              </w:rPr>
              <w:t>全</w:t>
            </w:r>
            <w:r>
              <w:rPr>
                <w:rStyle w:val="26"/>
                <w:rFonts w:hint="eastAsia" w:asciiTheme="majorEastAsia" w:hAnsiTheme="majorEastAsia" w:eastAsiaTheme="majorEastAsia" w:cstheme="majorEastAsia"/>
                <w:sz w:val="18"/>
                <w:szCs w:val="18"/>
                <w:lang w:val="en-US" w:eastAsia="zh-CN" w:bidi="ar"/>
              </w:rPr>
              <w:t>年</w:t>
            </w:r>
          </w:p>
        </w:tc>
        <w:tc>
          <w:tcPr>
            <w:tcW w:w="7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sz w:val="18"/>
                <w:szCs w:val="18"/>
                <w:u w:val="none"/>
              </w:rPr>
            </w:pPr>
            <w:r>
              <w:rPr>
                <w:rStyle w:val="25"/>
                <w:rFonts w:hint="eastAsia" w:asciiTheme="majorEastAsia" w:hAnsiTheme="majorEastAsia" w:eastAsiaTheme="majorEastAsia" w:cstheme="majorEastAsia"/>
                <w:sz w:val="18"/>
                <w:szCs w:val="18"/>
                <w:lang w:val="en-US" w:eastAsia="zh-CN" w:bidi="ar"/>
              </w:rPr>
              <w:t>分</w:t>
            </w:r>
            <w:r>
              <w:rPr>
                <w:rStyle w:val="26"/>
                <w:rFonts w:hint="eastAsia" w:asciiTheme="majorEastAsia" w:hAnsiTheme="majorEastAsia" w:eastAsiaTheme="majorEastAsia" w:cstheme="majorEastAsia"/>
                <w:sz w:val="18"/>
                <w:szCs w:val="18"/>
                <w:lang w:val="en-US" w:eastAsia="zh-CN" w:bidi="ar"/>
              </w:rPr>
              <w:t>值</w:t>
            </w:r>
          </w:p>
        </w:tc>
        <w:tc>
          <w:tcPr>
            <w:tcW w:w="7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sz w:val="18"/>
                <w:szCs w:val="18"/>
                <w:u w:val="none"/>
              </w:rPr>
            </w:pPr>
            <w:r>
              <w:rPr>
                <w:rStyle w:val="25"/>
                <w:rFonts w:hint="eastAsia" w:asciiTheme="majorEastAsia" w:hAnsiTheme="majorEastAsia" w:eastAsiaTheme="majorEastAsia" w:cstheme="majorEastAsia"/>
                <w:sz w:val="18"/>
                <w:szCs w:val="18"/>
                <w:lang w:val="en-US" w:eastAsia="zh-CN" w:bidi="ar"/>
              </w:rPr>
              <w:t>执行</w:t>
            </w:r>
            <w:r>
              <w:rPr>
                <w:rStyle w:val="26"/>
                <w:rFonts w:hint="eastAsia" w:asciiTheme="majorEastAsia" w:hAnsiTheme="majorEastAsia" w:eastAsiaTheme="majorEastAsia" w:cstheme="majorEastAsia"/>
                <w:sz w:val="18"/>
                <w:szCs w:val="18"/>
                <w:lang w:val="en-US" w:eastAsia="zh-CN" w:bidi="ar"/>
              </w:rPr>
              <w:t>率</w:t>
            </w:r>
          </w:p>
        </w:tc>
        <w:tc>
          <w:tcPr>
            <w:tcW w:w="14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sz w:val="18"/>
                <w:szCs w:val="18"/>
                <w:u w:val="none"/>
              </w:rPr>
            </w:pPr>
            <w:r>
              <w:rPr>
                <w:rStyle w:val="25"/>
                <w:rFonts w:hint="eastAsia" w:asciiTheme="majorEastAsia" w:hAnsiTheme="majorEastAsia" w:eastAsiaTheme="majorEastAsia" w:cstheme="majorEastAsia"/>
                <w:sz w:val="18"/>
                <w:szCs w:val="18"/>
                <w:lang w:val="en-US" w:eastAsia="zh-CN" w:bidi="ar"/>
              </w:rPr>
              <w:t>得</w:t>
            </w:r>
            <w:r>
              <w:rPr>
                <w:rStyle w:val="26"/>
                <w:rFonts w:hint="eastAsia" w:asciiTheme="majorEastAsia" w:hAnsiTheme="majorEastAsia" w:eastAsiaTheme="majorEastAsia" w:cstheme="majorEastAsia"/>
                <w:sz w:val="18"/>
                <w:szCs w:val="18"/>
                <w:lang w:val="en-US" w:eastAsia="zh-CN" w:bidi="ar"/>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trPr>
        <w:tc>
          <w:tcPr>
            <w:tcW w:w="7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c>
          <w:tcPr>
            <w:tcW w:w="144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Theme="majorEastAsia" w:hAnsiTheme="majorEastAsia" w:eastAsiaTheme="majorEastAsia" w:cstheme="majorEastAsia"/>
                <w:i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sz w:val="18"/>
                <w:szCs w:val="18"/>
                <w:u w:val="none"/>
              </w:rPr>
            </w:pPr>
            <w:r>
              <w:rPr>
                <w:rStyle w:val="23"/>
                <w:rFonts w:hint="eastAsia" w:asciiTheme="majorEastAsia" w:hAnsiTheme="majorEastAsia" w:eastAsiaTheme="majorEastAsia" w:cstheme="majorEastAsia"/>
                <w:sz w:val="18"/>
                <w:szCs w:val="18"/>
                <w:lang w:val="en-US" w:eastAsia="zh-CN" w:bidi="ar"/>
              </w:rPr>
              <w:t>预算</w:t>
            </w:r>
            <w:r>
              <w:rPr>
                <w:rStyle w:val="24"/>
                <w:rFonts w:hint="eastAsia" w:asciiTheme="majorEastAsia" w:hAnsiTheme="majorEastAsia" w:eastAsiaTheme="majorEastAsia" w:cstheme="majorEastAsia"/>
                <w:sz w:val="18"/>
                <w:szCs w:val="18"/>
                <w:lang w:val="en-US" w:eastAsia="zh-CN" w:bidi="ar"/>
              </w:rPr>
              <w:t>数</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sz w:val="18"/>
                <w:szCs w:val="18"/>
                <w:u w:val="none"/>
              </w:rPr>
            </w:pPr>
            <w:r>
              <w:rPr>
                <w:rStyle w:val="23"/>
                <w:rFonts w:hint="eastAsia" w:asciiTheme="majorEastAsia" w:hAnsiTheme="majorEastAsia" w:eastAsiaTheme="majorEastAsia" w:cstheme="majorEastAsia"/>
                <w:sz w:val="18"/>
                <w:szCs w:val="18"/>
                <w:lang w:val="en-US" w:eastAsia="zh-CN" w:bidi="ar"/>
              </w:rPr>
              <w:t>预算</w:t>
            </w:r>
            <w:r>
              <w:rPr>
                <w:rStyle w:val="24"/>
                <w:rFonts w:hint="eastAsia" w:asciiTheme="majorEastAsia" w:hAnsiTheme="majorEastAsia" w:eastAsiaTheme="majorEastAsia" w:cstheme="majorEastAsia"/>
                <w:sz w:val="18"/>
                <w:szCs w:val="18"/>
                <w:lang w:val="en-US" w:eastAsia="zh-CN" w:bidi="ar"/>
              </w:rPr>
              <w:t>数</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sz w:val="18"/>
                <w:szCs w:val="18"/>
                <w:u w:val="none"/>
              </w:rPr>
            </w:pPr>
            <w:r>
              <w:rPr>
                <w:rStyle w:val="25"/>
                <w:rFonts w:hint="eastAsia" w:asciiTheme="majorEastAsia" w:hAnsiTheme="majorEastAsia" w:eastAsiaTheme="majorEastAsia" w:cstheme="majorEastAsia"/>
                <w:sz w:val="18"/>
                <w:szCs w:val="18"/>
                <w:lang w:val="en-US" w:eastAsia="zh-CN" w:bidi="ar"/>
              </w:rPr>
              <w:t>执行</w:t>
            </w:r>
            <w:r>
              <w:rPr>
                <w:rStyle w:val="26"/>
                <w:rFonts w:hint="eastAsia" w:asciiTheme="majorEastAsia" w:hAnsiTheme="majorEastAsia" w:eastAsiaTheme="majorEastAsia" w:cstheme="majorEastAsia"/>
                <w:sz w:val="18"/>
                <w:szCs w:val="18"/>
                <w:lang w:val="en-US" w:eastAsia="zh-CN" w:bidi="ar"/>
              </w:rPr>
              <w:t>数</w:t>
            </w:r>
          </w:p>
        </w:tc>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c>
          <w:tcPr>
            <w:tcW w:w="14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trPr>
        <w:tc>
          <w:tcPr>
            <w:tcW w:w="7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年度资金总额</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sz w:val="18"/>
                <w:szCs w:val="18"/>
                <w:u w:val="none"/>
                <w:lang w:val="en-US" w:eastAsia="zh-CN"/>
              </w:rPr>
            </w:pPr>
            <w:r>
              <w:rPr>
                <w:rFonts w:hint="eastAsia" w:asciiTheme="majorEastAsia" w:hAnsiTheme="majorEastAsia" w:eastAsiaTheme="majorEastAsia" w:cstheme="majorEastAsia"/>
                <w:i w:val="0"/>
                <w:color w:val="000000"/>
                <w:sz w:val="18"/>
                <w:szCs w:val="18"/>
                <w:u w:val="none"/>
                <w:lang w:val="en-US" w:eastAsia="zh-CN"/>
              </w:rPr>
              <w:t>358.55</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sz w:val="18"/>
                <w:szCs w:val="18"/>
                <w:u w:val="none"/>
                <w:lang w:val="en-US" w:eastAsia="zh-CN"/>
              </w:rPr>
            </w:pPr>
            <w:r>
              <w:rPr>
                <w:rFonts w:hint="eastAsia" w:asciiTheme="majorEastAsia" w:hAnsiTheme="majorEastAsia" w:eastAsiaTheme="majorEastAsia" w:cstheme="majorEastAsia"/>
                <w:i w:val="0"/>
                <w:color w:val="000000"/>
                <w:sz w:val="18"/>
                <w:szCs w:val="18"/>
                <w:u w:val="none"/>
                <w:lang w:val="en-US" w:eastAsia="zh-CN"/>
              </w:rPr>
              <w:t>421.79</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sz w:val="18"/>
                <w:szCs w:val="18"/>
                <w:u w:val="none"/>
                <w:lang w:val="en-US"/>
              </w:rPr>
            </w:pPr>
            <w:r>
              <w:rPr>
                <w:rFonts w:hint="eastAsia" w:asciiTheme="majorEastAsia" w:hAnsiTheme="majorEastAsia" w:eastAsiaTheme="majorEastAsia" w:cstheme="majorEastAsia"/>
                <w:i w:val="0"/>
                <w:color w:val="000000"/>
                <w:kern w:val="0"/>
                <w:sz w:val="18"/>
                <w:szCs w:val="18"/>
                <w:u w:val="none"/>
                <w:lang w:val="en-US" w:eastAsia="zh-CN" w:bidi="ar"/>
              </w:rPr>
              <w:t>421.79</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10</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100%</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trPr>
        <w:tc>
          <w:tcPr>
            <w:tcW w:w="7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其中：当年财政拨款</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sz w:val="18"/>
                <w:szCs w:val="18"/>
                <w:u w:val="none"/>
                <w:lang w:val="en-US"/>
              </w:rPr>
            </w:pPr>
            <w:r>
              <w:rPr>
                <w:rFonts w:hint="eastAsia" w:asciiTheme="majorEastAsia" w:hAnsiTheme="majorEastAsia" w:eastAsiaTheme="majorEastAsia" w:cstheme="majorEastAsia"/>
                <w:i w:val="0"/>
                <w:color w:val="000000"/>
                <w:kern w:val="0"/>
                <w:sz w:val="18"/>
                <w:szCs w:val="18"/>
                <w:u w:val="none"/>
                <w:lang w:val="en-US" w:eastAsia="zh-CN" w:bidi="ar"/>
              </w:rPr>
              <w:t>358.55</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sz w:val="18"/>
                <w:szCs w:val="18"/>
                <w:u w:val="none"/>
                <w:lang w:val="en-US"/>
              </w:rPr>
            </w:pPr>
            <w:r>
              <w:rPr>
                <w:rFonts w:hint="eastAsia" w:asciiTheme="majorEastAsia" w:hAnsiTheme="majorEastAsia" w:eastAsiaTheme="majorEastAsia" w:cstheme="majorEastAsia"/>
                <w:i w:val="0"/>
                <w:color w:val="000000"/>
                <w:kern w:val="0"/>
                <w:sz w:val="18"/>
                <w:szCs w:val="18"/>
                <w:u w:val="none"/>
                <w:lang w:val="en-US" w:eastAsia="zh-CN" w:bidi="ar"/>
              </w:rPr>
              <w:t>421.79</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sz w:val="18"/>
                <w:szCs w:val="18"/>
                <w:u w:val="none"/>
                <w:lang w:val="en-US"/>
              </w:rPr>
            </w:pPr>
            <w:r>
              <w:rPr>
                <w:rFonts w:hint="eastAsia" w:asciiTheme="majorEastAsia" w:hAnsiTheme="majorEastAsia" w:eastAsiaTheme="majorEastAsia" w:cstheme="majorEastAsia"/>
                <w:i w:val="0"/>
                <w:color w:val="000000"/>
                <w:kern w:val="0"/>
                <w:sz w:val="18"/>
                <w:szCs w:val="18"/>
                <w:u w:val="none"/>
                <w:lang w:val="en-US" w:eastAsia="zh-CN" w:bidi="ar"/>
              </w:rPr>
              <w:t>421.79</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8" w:hRule="atLeast"/>
        </w:trPr>
        <w:tc>
          <w:tcPr>
            <w:tcW w:w="7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上年结转资金</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trPr>
        <w:tc>
          <w:tcPr>
            <w:tcW w:w="7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color w:val="000000"/>
                <w:sz w:val="18"/>
                <w:szCs w:val="18"/>
                <w:u w:val="none"/>
              </w:rPr>
            </w:pPr>
            <w:r>
              <w:rPr>
                <w:rStyle w:val="23"/>
                <w:rFonts w:hint="eastAsia" w:asciiTheme="majorEastAsia" w:hAnsiTheme="majorEastAsia" w:eastAsiaTheme="majorEastAsia" w:cstheme="majorEastAsia"/>
                <w:sz w:val="18"/>
                <w:szCs w:val="18"/>
                <w:lang w:val="en-US" w:eastAsia="zh-CN" w:bidi="ar"/>
              </w:rPr>
              <w:t>其他资</w:t>
            </w:r>
            <w:r>
              <w:rPr>
                <w:rStyle w:val="24"/>
                <w:rFonts w:hint="eastAsia" w:asciiTheme="majorEastAsia" w:hAnsiTheme="majorEastAsia" w:eastAsiaTheme="majorEastAsia" w:cstheme="majorEastAsia"/>
                <w:sz w:val="18"/>
                <w:szCs w:val="18"/>
                <w:lang w:val="en-US" w:eastAsia="zh-CN" w:bidi="ar"/>
              </w:rPr>
              <w:t>金</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trPr>
        <w:tc>
          <w:tcPr>
            <w:tcW w:w="7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sz w:val="18"/>
                <w:szCs w:val="18"/>
                <w:u w:val="none"/>
              </w:rPr>
            </w:pPr>
            <w:r>
              <w:rPr>
                <w:rStyle w:val="27"/>
                <w:rFonts w:hint="eastAsia" w:asciiTheme="majorEastAsia" w:hAnsiTheme="majorEastAsia" w:eastAsiaTheme="majorEastAsia" w:cstheme="majorEastAsia"/>
                <w:sz w:val="18"/>
                <w:szCs w:val="18"/>
                <w:lang w:val="en-US" w:eastAsia="zh-CN" w:bidi="ar"/>
              </w:rPr>
              <w:t>年度总体目</w:t>
            </w:r>
            <w:r>
              <w:rPr>
                <w:rStyle w:val="28"/>
                <w:rFonts w:hint="eastAsia" w:asciiTheme="majorEastAsia" w:hAnsiTheme="majorEastAsia" w:eastAsiaTheme="majorEastAsia" w:cstheme="majorEastAsia"/>
                <w:sz w:val="18"/>
                <w:szCs w:val="18"/>
                <w:lang w:val="en-US" w:eastAsia="zh-CN" w:bidi="ar"/>
              </w:rPr>
              <w:t>标</w:t>
            </w:r>
          </w:p>
        </w:tc>
        <w:tc>
          <w:tcPr>
            <w:tcW w:w="335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i w:val="0"/>
                <w:color w:val="000000"/>
                <w:sz w:val="18"/>
                <w:szCs w:val="18"/>
                <w:u w:val="none"/>
              </w:rPr>
            </w:pPr>
            <w:r>
              <w:rPr>
                <w:rStyle w:val="29"/>
                <w:rFonts w:hint="eastAsia" w:asciiTheme="majorEastAsia" w:hAnsiTheme="majorEastAsia" w:eastAsiaTheme="majorEastAsia" w:cstheme="majorEastAsia"/>
                <w:sz w:val="18"/>
                <w:szCs w:val="18"/>
                <w:lang w:val="en-US" w:eastAsia="zh-CN" w:bidi="ar"/>
              </w:rPr>
              <w:t>预期目</w:t>
            </w:r>
            <w:r>
              <w:rPr>
                <w:rStyle w:val="30"/>
                <w:rFonts w:hint="eastAsia" w:asciiTheme="majorEastAsia" w:hAnsiTheme="majorEastAsia" w:eastAsiaTheme="majorEastAsia" w:cstheme="majorEastAsia"/>
                <w:sz w:val="18"/>
                <w:szCs w:val="18"/>
                <w:lang w:val="en-US" w:eastAsia="zh-CN" w:bidi="ar"/>
              </w:rPr>
              <w:t>标</w:t>
            </w:r>
          </w:p>
        </w:tc>
        <w:tc>
          <w:tcPr>
            <w:tcW w:w="48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i w:val="0"/>
                <w:color w:val="000000"/>
                <w:sz w:val="18"/>
                <w:szCs w:val="18"/>
                <w:u w:val="none"/>
              </w:rPr>
            </w:pPr>
            <w:r>
              <w:rPr>
                <w:rFonts w:hint="eastAsia" w:asciiTheme="majorEastAsia" w:hAnsiTheme="majorEastAsia" w:eastAsiaTheme="majorEastAsia" w:cstheme="majorEastAsia"/>
                <w:b/>
                <w:i w:val="0"/>
                <w:color w:val="000000"/>
                <w:kern w:val="0"/>
                <w:sz w:val="18"/>
                <w:szCs w:val="18"/>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6" w:hRule="atLeast"/>
        </w:trPr>
        <w:tc>
          <w:tcPr>
            <w:tcW w:w="7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c>
          <w:tcPr>
            <w:tcW w:w="335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目标1：全年招商引资引进省外境内资金</w:t>
            </w:r>
            <w:r>
              <w:rPr>
                <w:rFonts w:hint="eastAsia" w:asciiTheme="majorEastAsia" w:hAnsiTheme="majorEastAsia" w:eastAsiaTheme="majorEastAsia" w:cstheme="majorEastAsia"/>
                <w:i w:val="0"/>
                <w:color w:val="000000"/>
                <w:kern w:val="0"/>
                <w:sz w:val="18"/>
                <w:szCs w:val="18"/>
                <w:u w:val="none"/>
                <w:lang w:val="en" w:eastAsia="zh-CN" w:bidi="ar"/>
              </w:rPr>
              <w:t>204</w:t>
            </w:r>
            <w:r>
              <w:rPr>
                <w:rFonts w:hint="eastAsia" w:asciiTheme="majorEastAsia" w:hAnsiTheme="majorEastAsia" w:eastAsiaTheme="majorEastAsia" w:cstheme="majorEastAsia"/>
                <w:i w:val="0"/>
                <w:color w:val="000000"/>
                <w:kern w:val="0"/>
                <w:sz w:val="18"/>
                <w:szCs w:val="18"/>
                <w:u w:val="none"/>
                <w:lang w:val="en-US" w:eastAsia="zh-CN" w:bidi="ar"/>
              </w:rPr>
              <w:t>亿人民币</w:t>
            </w:r>
          </w:p>
        </w:tc>
        <w:tc>
          <w:tcPr>
            <w:tcW w:w="48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color w:val="000000"/>
                <w:kern w:val="0"/>
                <w:sz w:val="18"/>
                <w:szCs w:val="18"/>
                <w:lang w:val="en" w:eastAsia="zh-CN" w:bidi="ar"/>
              </w:rPr>
              <w:t>1-</w:t>
            </w:r>
            <w:r>
              <w:rPr>
                <w:rFonts w:hint="eastAsia" w:asciiTheme="majorEastAsia" w:hAnsiTheme="majorEastAsia" w:eastAsiaTheme="majorEastAsia" w:cstheme="majorEastAsia"/>
                <w:color w:val="000000"/>
                <w:kern w:val="0"/>
                <w:sz w:val="18"/>
                <w:szCs w:val="18"/>
                <w:lang w:val="en-US" w:eastAsia="zh-CN" w:bidi="ar"/>
              </w:rPr>
              <w:t>12</w:t>
            </w:r>
            <w:r>
              <w:rPr>
                <w:rFonts w:hint="eastAsia" w:asciiTheme="majorEastAsia" w:hAnsiTheme="majorEastAsia" w:eastAsiaTheme="majorEastAsia" w:cstheme="majorEastAsia"/>
                <w:color w:val="000000"/>
                <w:kern w:val="0"/>
                <w:sz w:val="18"/>
                <w:szCs w:val="18"/>
                <w:lang w:val="en" w:eastAsia="zh-CN" w:bidi="ar"/>
              </w:rPr>
              <w:t>月, 全州引进省外境内资金</w:t>
            </w:r>
            <w:r>
              <w:rPr>
                <w:rFonts w:hint="eastAsia" w:asciiTheme="majorEastAsia" w:hAnsiTheme="majorEastAsia" w:eastAsiaTheme="majorEastAsia" w:cstheme="majorEastAsia"/>
                <w:color w:val="000000"/>
                <w:kern w:val="0"/>
                <w:sz w:val="18"/>
                <w:szCs w:val="18"/>
                <w:lang w:val="en-US" w:eastAsia="zh-CN" w:bidi="ar"/>
              </w:rPr>
              <w:t>208.7</w:t>
            </w:r>
            <w:r>
              <w:rPr>
                <w:rFonts w:hint="eastAsia" w:asciiTheme="majorEastAsia" w:hAnsiTheme="majorEastAsia" w:eastAsiaTheme="majorEastAsia" w:cstheme="majorEastAsia"/>
                <w:color w:val="000000"/>
                <w:kern w:val="0"/>
                <w:sz w:val="18"/>
                <w:szCs w:val="18"/>
                <w:lang w:val="en" w:eastAsia="zh-CN" w:bidi="ar"/>
              </w:rPr>
              <w:t>亿元，同比增长</w:t>
            </w:r>
            <w:r>
              <w:rPr>
                <w:rFonts w:hint="eastAsia" w:asciiTheme="majorEastAsia" w:hAnsiTheme="majorEastAsia" w:eastAsiaTheme="majorEastAsia" w:cstheme="majorEastAsia"/>
                <w:color w:val="000000"/>
                <w:kern w:val="0"/>
                <w:sz w:val="18"/>
                <w:szCs w:val="18"/>
                <w:lang w:val="en-US" w:eastAsia="zh-CN" w:bidi="ar"/>
              </w:rPr>
              <w:t>22.7</w:t>
            </w:r>
            <w:r>
              <w:rPr>
                <w:rFonts w:hint="eastAsia" w:asciiTheme="majorEastAsia" w:hAnsiTheme="majorEastAsia" w:eastAsiaTheme="majorEastAsia" w:cstheme="majorEastAsia"/>
                <w:color w:val="000000"/>
                <w:kern w:val="0"/>
                <w:sz w:val="18"/>
                <w:szCs w:val="18"/>
                <w:lang w:val="en"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c>
          <w:tcPr>
            <w:tcW w:w="335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目标2：完成进出口总额</w:t>
            </w:r>
            <w:r>
              <w:rPr>
                <w:rFonts w:hint="eastAsia" w:asciiTheme="majorEastAsia" w:hAnsiTheme="majorEastAsia" w:eastAsiaTheme="majorEastAsia" w:cstheme="majorEastAsia"/>
                <w:i w:val="0"/>
                <w:color w:val="000000"/>
                <w:kern w:val="0"/>
                <w:sz w:val="18"/>
                <w:szCs w:val="18"/>
                <w:u w:val="none"/>
                <w:lang w:val="en" w:eastAsia="zh-CN" w:bidi="ar"/>
              </w:rPr>
              <w:t>19.84</w:t>
            </w:r>
            <w:r>
              <w:rPr>
                <w:rFonts w:hint="eastAsia" w:asciiTheme="majorEastAsia" w:hAnsiTheme="majorEastAsia" w:eastAsiaTheme="majorEastAsia" w:cstheme="majorEastAsia"/>
                <w:i w:val="0"/>
                <w:color w:val="000000"/>
                <w:kern w:val="0"/>
                <w:sz w:val="18"/>
                <w:szCs w:val="18"/>
                <w:u w:val="none"/>
                <w:lang w:val="en-US" w:eastAsia="zh-CN" w:bidi="ar"/>
              </w:rPr>
              <w:t>亿人民币</w:t>
            </w:r>
          </w:p>
        </w:tc>
        <w:tc>
          <w:tcPr>
            <w:tcW w:w="48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sz w:val="18"/>
                <w:szCs w:val="18"/>
                <w:lang w:eastAsia="zh-CN"/>
              </w:rPr>
              <w:t>全年全州</w:t>
            </w:r>
            <w:r>
              <w:rPr>
                <w:rStyle w:val="32"/>
                <w:rFonts w:hint="eastAsia" w:asciiTheme="majorEastAsia" w:hAnsiTheme="majorEastAsia" w:eastAsiaTheme="majorEastAsia" w:cstheme="majorEastAsia"/>
                <w:color w:val="auto"/>
                <w:sz w:val="18"/>
                <w:szCs w:val="18"/>
              </w:rPr>
              <w:t>外贸进出口实现21.63亿元，增长28.4%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4" w:hRule="atLeast"/>
        </w:trPr>
        <w:tc>
          <w:tcPr>
            <w:tcW w:w="7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c>
          <w:tcPr>
            <w:tcW w:w="335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目标3：引进“三类500强”企业新投资项目4个</w:t>
            </w:r>
          </w:p>
        </w:tc>
        <w:tc>
          <w:tcPr>
            <w:tcW w:w="48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color w:val="000000"/>
                <w:sz w:val="18"/>
                <w:szCs w:val="18"/>
                <w:u w:val="none"/>
              </w:rPr>
            </w:pPr>
            <w:r>
              <w:rPr>
                <w:rStyle w:val="32"/>
                <w:rFonts w:hint="eastAsia" w:asciiTheme="majorEastAsia" w:hAnsiTheme="majorEastAsia" w:eastAsiaTheme="majorEastAsia" w:cstheme="majorEastAsia"/>
                <w:color w:val="auto"/>
                <w:sz w:val="18"/>
                <w:szCs w:val="18"/>
              </w:rPr>
              <w:t>引进“三类500强”企业新投资项目14个，完成年度目标任务（5个）的280%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绩</w:t>
            </w:r>
            <w:r>
              <w:rPr>
                <w:rFonts w:hint="eastAsia" w:asciiTheme="majorEastAsia" w:hAnsiTheme="majorEastAsia" w:eastAsiaTheme="majorEastAsia" w:cstheme="majorEastAsia"/>
                <w:i w:val="0"/>
                <w:color w:val="000000"/>
                <w:kern w:val="0"/>
                <w:sz w:val="18"/>
                <w:szCs w:val="18"/>
                <w:u w:val="none"/>
                <w:lang w:val="en-US" w:eastAsia="zh-CN" w:bidi="ar"/>
              </w:rPr>
              <w:br w:type="textWrapping"/>
            </w:r>
            <w:r>
              <w:rPr>
                <w:rFonts w:hint="eastAsia" w:asciiTheme="majorEastAsia" w:hAnsiTheme="majorEastAsia" w:eastAsiaTheme="majorEastAsia" w:cstheme="majorEastAsia"/>
                <w:i w:val="0"/>
                <w:color w:val="000000"/>
                <w:kern w:val="0"/>
                <w:sz w:val="18"/>
                <w:szCs w:val="18"/>
                <w:u w:val="none"/>
                <w:lang w:val="en-US" w:eastAsia="zh-CN" w:bidi="ar"/>
              </w:rPr>
              <w:t>效</w:t>
            </w:r>
            <w:r>
              <w:rPr>
                <w:rFonts w:hint="eastAsia" w:asciiTheme="majorEastAsia" w:hAnsiTheme="majorEastAsia" w:eastAsiaTheme="majorEastAsia" w:cstheme="majorEastAsia"/>
                <w:i w:val="0"/>
                <w:color w:val="000000"/>
                <w:kern w:val="0"/>
                <w:sz w:val="18"/>
                <w:szCs w:val="18"/>
                <w:u w:val="none"/>
                <w:lang w:val="en-US" w:eastAsia="zh-CN" w:bidi="ar"/>
              </w:rPr>
              <w:br w:type="textWrapping"/>
            </w:r>
            <w:r>
              <w:rPr>
                <w:rFonts w:hint="eastAsia" w:asciiTheme="majorEastAsia" w:hAnsiTheme="majorEastAsia" w:eastAsiaTheme="majorEastAsia" w:cstheme="majorEastAsia"/>
                <w:i w:val="0"/>
                <w:color w:val="000000"/>
                <w:kern w:val="0"/>
                <w:sz w:val="18"/>
                <w:szCs w:val="18"/>
                <w:u w:val="none"/>
                <w:lang w:val="en-US" w:eastAsia="zh-CN" w:bidi="ar"/>
              </w:rPr>
              <w:t>指</w:t>
            </w:r>
            <w:r>
              <w:rPr>
                <w:rFonts w:hint="eastAsia" w:asciiTheme="majorEastAsia" w:hAnsiTheme="majorEastAsia" w:eastAsiaTheme="majorEastAsia" w:cstheme="majorEastAsia"/>
                <w:i w:val="0"/>
                <w:color w:val="000000"/>
                <w:kern w:val="0"/>
                <w:sz w:val="18"/>
                <w:szCs w:val="18"/>
                <w:u w:val="none"/>
                <w:lang w:val="en-US" w:eastAsia="zh-CN" w:bidi="ar"/>
              </w:rPr>
              <w:br w:type="textWrapping"/>
            </w:r>
            <w:r>
              <w:rPr>
                <w:rFonts w:hint="eastAsia" w:asciiTheme="majorEastAsia" w:hAnsiTheme="majorEastAsia" w:eastAsiaTheme="majorEastAsia" w:cstheme="majorEastAsia"/>
                <w:i w:val="0"/>
                <w:color w:val="000000"/>
                <w:kern w:val="0"/>
                <w:sz w:val="18"/>
                <w:szCs w:val="18"/>
                <w:u w:val="none"/>
                <w:lang w:val="en-US" w:eastAsia="zh-CN" w:bidi="ar"/>
              </w:rPr>
              <w:t>标</w:t>
            </w:r>
          </w:p>
        </w:tc>
        <w:tc>
          <w:tcPr>
            <w:tcW w:w="7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sz w:val="18"/>
                <w:szCs w:val="18"/>
                <w:u w:val="none"/>
              </w:rPr>
            </w:pPr>
            <w:r>
              <w:rPr>
                <w:rStyle w:val="21"/>
                <w:rFonts w:hint="eastAsia" w:asciiTheme="majorEastAsia" w:hAnsiTheme="majorEastAsia" w:eastAsiaTheme="majorEastAsia" w:cstheme="majorEastAsia"/>
                <w:sz w:val="18"/>
                <w:szCs w:val="18"/>
                <w:lang w:val="en-US" w:eastAsia="zh-CN" w:bidi="ar"/>
              </w:rPr>
              <w:t>一级指</w:t>
            </w:r>
            <w:r>
              <w:rPr>
                <w:rStyle w:val="22"/>
                <w:rFonts w:hint="eastAsia" w:asciiTheme="majorEastAsia" w:hAnsiTheme="majorEastAsia" w:eastAsiaTheme="majorEastAsia" w:cstheme="majorEastAsia"/>
                <w:sz w:val="18"/>
                <w:szCs w:val="18"/>
                <w:lang w:val="en-US" w:eastAsia="zh-CN" w:bidi="ar"/>
              </w:rPr>
              <w:t>标</w:t>
            </w:r>
          </w:p>
        </w:tc>
        <w:tc>
          <w:tcPr>
            <w:tcW w:w="7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sz w:val="18"/>
                <w:szCs w:val="18"/>
                <w:u w:val="none"/>
              </w:rPr>
            </w:pPr>
            <w:r>
              <w:rPr>
                <w:rStyle w:val="21"/>
                <w:rFonts w:hint="eastAsia" w:asciiTheme="majorEastAsia" w:hAnsiTheme="majorEastAsia" w:eastAsiaTheme="majorEastAsia" w:cstheme="majorEastAsia"/>
                <w:sz w:val="18"/>
                <w:szCs w:val="18"/>
                <w:lang w:val="en-US" w:eastAsia="zh-CN" w:bidi="ar"/>
              </w:rPr>
              <w:t>二级指</w:t>
            </w:r>
            <w:r>
              <w:rPr>
                <w:rStyle w:val="22"/>
                <w:rFonts w:hint="eastAsia" w:asciiTheme="majorEastAsia" w:hAnsiTheme="majorEastAsia" w:eastAsiaTheme="majorEastAsia" w:cstheme="majorEastAsia"/>
                <w:sz w:val="18"/>
                <w:szCs w:val="18"/>
                <w:lang w:val="en-US" w:eastAsia="zh-CN" w:bidi="ar"/>
              </w:rPr>
              <w:t>标</w:t>
            </w:r>
          </w:p>
        </w:tc>
        <w:tc>
          <w:tcPr>
            <w:tcW w:w="10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sz w:val="18"/>
                <w:szCs w:val="18"/>
                <w:u w:val="none"/>
              </w:rPr>
            </w:pPr>
            <w:r>
              <w:rPr>
                <w:rStyle w:val="21"/>
                <w:rFonts w:hint="eastAsia" w:asciiTheme="majorEastAsia" w:hAnsiTheme="majorEastAsia" w:eastAsiaTheme="majorEastAsia" w:cstheme="majorEastAsia"/>
                <w:sz w:val="18"/>
                <w:szCs w:val="18"/>
                <w:lang w:val="en-US" w:eastAsia="zh-CN" w:bidi="ar"/>
              </w:rPr>
              <w:t>三级指</w:t>
            </w:r>
            <w:r>
              <w:rPr>
                <w:rStyle w:val="22"/>
                <w:rFonts w:hint="eastAsia" w:asciiTheme="majorEastAsia" w:hAnsiTheme="majorEastAsia" w:eastAsiaTheme="majorEastAsia" w:cstheme="majorEastAsia"/>
                <w:sz w:val="18"/>
                <w:szCs w:val="18"/>
                <w:lang w:val="en-US" w:eastAsia="zh-CN" w:bidi="ar"/>
              </w:rPr>
              <w:t>标</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sz w:val="18"/>
                <w:szCs w:val="18"/>
                <w:u w:val="none"/>
              </w:rPr>
            </w:pPr>
            <w:r>
              <w:rPr>
                <w:rStyle w:val="21"/>
                <w:rFonts w:hint="eastAsia" w:asciiTheme="majorEastAsia" w:hAnsiTheme="majorEastAsia" w:eastAsiaTheme="majorEastAsia" w:cstheme="majorEastAsia"/>
                <w:sz w:val="18"/>
                <w:szCs w:val="18"/>
                <w:lang w:val="en-US" w:eastAsia="zh-CN" w:bidi="ar"/>
              </w:rPr>
              <w:t>年</w:t>
            </w:r>
            <w:r>
              <w:rPr>
                <w:rStyle w:val="22"/>
                <w:rFonts w:hint="eastAsia" w:asciiTheme="majorEastAsia" w:hAnsiTheme="majorEastAsia" w:eastAsiaTheme="majorEastAsia" w:cstheme="majorEastAsia"/>
                <w:sz w:val="18"/>
                <w:szCs w:val="18"/>
                <w:lang w:val="en-US" w:eastAsia="zh-CN" w:bidi="ar"/>
              </w:rPr>
              <w:t>度指标值</w:t>
            </w:r>
          </w:p>
        </w:tc>
        <w:tc>
          <w:tcPr>
            <w:tcW w:w="20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sz w:val="18"/>
                <w:szCs w:val="18"/>
                <w:u w:val="none"/>
              </w:rPr>
            </w:pPr>
            <w:r>
              <w:rPr>
                <w:rStyle w:val="21"/>
                <w:rFonts w:hint="eastAsia" w:asciiTheme="majorEastAsia" w:hAnsiTheme="majorEastAsia" w:eastAsiaTheme="majorEastAsia" w:cstheme="majorEastAsia"/>
                <w:sz w:val="18"/>
                <w:szCs w:val="18"/>
                <w:lang w:val="en-US" w:eastAsia="zh-CN" w:bidi="ar"/>
              </w:rPr>
              <w:t>实</w:t>
            </w:r>
            <w:r>
              <w:rPr>
                <w:rStyle w:val="22"/>
                <w:rFonts w:hint="eastAsia" w:asciiTheme="majorEastAsia" w:hAnsiTheme="majorEastAsia" w:eastAsiaTheme="majorEastAsia" w:cstheme="majorEastAsia"/>
                <w:sz w:val="18"/>
                <w:szCs w:val="18"/>
                <w:lang w:val="en-US" w:eastAsia="zh-CN" w:bidi="ar"/>
              </w:rPr>
              <w:t>际完成值</w:t>
            </w:r>
          </w:p>
        </w:tc>
        <w:tc>
          <w:tcPr>
            <w:tcW w:w="7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sz w:val="18"/>
                <w:szCs w:val="18"/>
                <w:u w:val="none"/>
              </w:rPr>
            </w:pPr>
            <w:r>
              <w:rPr>
                <w:rStyle w:val="21"/>
                <w:rFonts w:hint="eastAsia" w:asciiTheme="majorEastAsia" w:hAnsiTheme="majorEastAsia" w:eastAsiaTheme="majorEastAsia" w:cstheme="majorEastAsia"/>
                <w:sz w:val="18"/>
                <w:szCs w:val="18"/>
                <w:lang w:val="en-US" w:eastAsia="zh-CN" w:bidi="ar"/>
              </w:rPr>
              <w:t>分</w:t>
            </w:r>
            <w:r>
              <w:rPr>
                <w:rStyle w:val="22"/>
                <w:rFonts w:hint="eastAsia" w:asciiTheme="majorEastAsia" w:hAnsiTheme="majorEastAsia" w:eastAsiaTheme="majorEastAsia" w:cstheme="majorEastAsia"/>
                <w:sz w:val="18"/>
                <w:szCs w:val="18"/>
                <w:lang w:val="en-US" w:eastAsia="zh-CN" w:bidi="ar"/>
              </w:rPr>
              <w:t>值</w:t>
            </w:r>
          </w:p>
        </w:tc>
        <w:tc>
          <w:tcPr>
            <w:tcW w:w="7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sz w:val="18"/>
                <w:szCs w:val="18"/>
                <w:u w:val="none"/>
              </w:rPr>
            </w:pPr>
            <w:r>
              <w:rPr>
                <w:rStyle w:val="21"/>
                <w:rFonts w:hint="eastAsia" w:asciiTheme="majorEastAsia" w:hAnsiTheme="majorEastAsia" w:eastAsiaTheme="majorEastAsia" w:cstheme="majorEastAsia"/>
                <w:sz w:val="18"/>
                <w:szCs w:val="18"/>
                <w:lang w:val="en-US" w:eastAsia="zh-CN" w:bidi="ar"/>
              </w:rPr>
              <w:t>得</w:t>
            </w:r>
            <w:r>
              <w:rPr>
                <w:rStyle w:val="22"/>
                <w:rFonts w:hint="eastAsia" w:asciiTheme="majorEastAsia" w:hAnsiTheme="majorEastAsia" w:eastAsiaTheme="majorEastAsia" w:cstheme="majorEastAsia"/>
                <w:sz w:val="18"/>
                <w:szCs w:val="18"/>
                <w:lang w:val="en-US" w:eastAsia="zh-CN" w:bidi="ar"/>
              </w:rPr>
              <w:t>分</w:t>
            </w:r>
          </w:p>
        </w:tc>
        <w:tc>
          <w:tcPr>
            <w:tcW w:w="14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sz w:val="18"/>
                <w:szCs w:val="18"/>
                <w:u w:val="none"/>
              </w:rPr>
            </w:pPr>
            <w:r>
              <w:rPr>
                <w:rStyle w:val="21"/>
                <w:rFonts w:hint="eastAsia" w:asciiTheme="majorEastAsia" w:hAnsiTheme="majorEastAsia" w:eastAsiaTheme="majorEastAsia" w:cstheme="majorEastAsia"/>
                <w:sz w:val="18"/>
                <w:szCs w:val="18"/>
                <w:lang w:val="en-US" w:eastAsia="zh-CN" w:bidi="ar"/>
              </w:rPr>
              <w:t>偏差原</w:t>
            </w:r>
            <w:r>
              <w:rPr>
                <w:rStyle w:val="22"/>
                <w:rFonts w:hint="eastAsia" w:asciiTheme="majorEastAsia" w:hAnsiTheme="majorEastAsia" w:eastAsiaTheme="majorEastAsia" w:cstheme="majorEastAsia"/>
                <w:sz w:val="18"/>
                <w:szCs w:val="18"/>
                <w:lang w:val="en-US" w:eastAsia="zh-CN" w:bidi="ar"/>
              </w:rPr>
              <w:t>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c>
          <w:tcPr>
            <w:tcW w:w="7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c>
          <w:tcPr>
            <w:tcW w:w="10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c>
          <w:tcPr>
            <w:tcW w:w="20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c>
          <w:tcPr>
            <w:tcW w:w="14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c>
          <w:tcPr>
            <w:tcW w:w="7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c>
          <w:tcPr>
            <w:tcW w:w="10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c>
          <w:tcPr>
            <w:tcW w:w="20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c>
          <w:tcPr>
            <w:tcW w:w="14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0" w:hRule="atLeast"/>
        </w:trPr>
        <w:tc>
          <w:tcPr>
            <w:tcW w:w="7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c>
          <w:tcPr>
            <w:tcW w:w="7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sz w:val="18"/>
                <w:szCs w:val="18"/>
                <w:u w:val="none"/>
              </w:rPr>
            </w:pPr>
            <w:r>
              <w:rPr>
                <w:rStyle w:val="27"/>
                <w:rFonts w:hint="eastAsia" w:asciiTheme="majorEastAsia" w:hAnsiTheme="majorEastAsia" w:eastAsiaTheme="majorEastAsia" w:cstheme="majorEastAsia"/>
                <w:sz w:val="18"/>
                <w:szCs w:val="18"/>
                <w:lang w:val="en-US" w:eastAsia="zh-CN" w:bidi="ar"/>
              </w:rPr>
              <w:t>产出指</w:t>
            </w:r>
            <w:r>
              <w:rPr>
                <w:rStyle w:val="28"/>
                <w:rFonts w:hint="eastAsia" w:asciiTheme="majorEastAsia" w:hAnsiTheme="majorEastAsia" w:eastAsiaTheme="majorEastAsia" w:cstheme="majorEastAsia"/>
                <w:sz w:val="18"/>
                <w:szCs w:val="18"/>
                <w:lang w:val="en-US" w:eastAsia="zh-CN" w:bidi="ar"/>
              </w:rPr>
              <w:t>标</w:t>
            </w:r>
            <w:r>
              <w:rPr>
                <w:rStyle w:val="27"/>
                <w:rFonts w:hint="eastAsia" w:asciiTheme="majorEastAsia" w:hAnsiTheme="majorEastAsia" w:eastAsiaTheme="majorEastAsia" w:cstheme="majorEastAsia"/>
                <w:sz w:val="18"/>
                <w:szCs w:val="18"/>
                <w:lang w:val="en-US" w:eastAsia="zh-CN" w:bidi="ar"/>
              </w:rPr>
              <w:t>(50分)</w:t>
            </w:r>
          </w:p>
        </w:tc>
        <w:tc>
          <w:tcPr>
            <w:tcW w:w="7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color w:val="000000"/>
                <w:sz w:val="18"/>
                <w:szCs w:val="18"/>
                <w:u w:val="none"/>
              </w:rPr>
            </w:pPr>
            <w:r>
              <w:rPr>
                <w:rStyle w:val="23"/>
                <w:rFonts w:hint="eastAsia" w:asciiTheme="majorEastAsia" w:hAnsiTheme="majorEastAsia" w:eastAsiaTheme="majorEastAsia" w:cstheme="majorEastAsia"/>
                <w:sz w:val="18"/>
                <w:szCs w:val="18"/>
                <w:lang w:val="en-US" w:eastAsia="zh-CN" w:bidi="ar"/>
              </w:rPr>
              <w:t>数量指</w:t>
            </w:r>
            <w:r>
              <w:rPr>
                <w:rStyle w:val="24"/>
                <w:rFonts w:hint="eastAsia" w:asciiTheme="majorEastAsia" w:hAnsiTheme="majorEastAsia" w:eastAsiaTheme="majorEastAsia" w:cstheme="majorEastAsia"/>
                <w:sz w:val="18"/>
                <w:szCs w:val="18"/>
                <w:lang w:val="en-US" w:eastAsia="zh-CN" w:bidi="ar"/>
              </w:rPr>
              <w:t>标</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21"/>
                <w:rFonts w:hint="eastAsia" w:asciiTheme="majorEastAsia" w:hAnsiTheme="majorEastAsia" w:eastAsiaTheme="majorEastAsia" w:cstheme="majorEastAsia"/>
                <w:sz w:val="18"/>
                <w:szCs w:val="18"/>
                <w:lang w:val="en-US" w:eastAsia="zh-CN" w:bidi="ar"/>
              </w:rPr>
            </w:pPr>
            <w:r>
              <w:rPr>
                <w:rStyle w:val="21"/>
                <w:rFonts w:hint="eastAsia" w:asciiTheme="majorEastAsia" w:hAnsiTheme="majorEastAsia" w:eastAsiaTheme="majorEastAsia" w:cstheme="majorEastAsia"/>
                <w:sz w:val="18"/>
                <w:szCs w:val="18"/>
                <w:lang w:val="en-US" w:eastAsia="zh-CN" w:bidi="ar"/>
              </w:rPr>
              <w:t>引进企业投资项目</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21"/>
                <w:rFonts w:hint="eastAsia" w:asciiTheme="majorEastAsia" w:hAnsiTheme="majorEastAsia" w:eastAsiaTheme="majorEastAsia" w:cstheme="majorEastAsia"/>
                <w:sz w:val="18"/>
                <w:szCs w:val="18"/>
                <w:lang w:val="en" w:eastAsia="zh-CN" w:bidi="ar"/>
              </w:rPr>
            </w:pPr>
            <w:r>
              <w:rPr>
                <w:rStyle w:val="21"/>
                <w:rFonts w:hint="eastAsia" w:asciiTheme="majorEastAsia" w:hAnsiTheme="majorEastAsia" w:eastAsiaTheme="majorEastAsia" w:cstheme="majorEastAsia"/>
                <w:sz w:val="18"/>
                <w:szCs w:val="18"/>
                <w:lang w:val="en-US" w:eastAsia="zh-CN" w:bidi="ar"/>
              </w:rPr>
              <w:t>4个</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21"/>
                <w:rFonts w:hint="eastAsia" w:asciiTheme="majorEastAsia" w:hAnsiTheme="majorEastAsia" w:eastAsiaTheme="majorEastAsia" w:cstheme="majorEastAsia"/>
                <w:sz w:val="18"/>
                <w:szCs w:val="18"/>
                <w:lang w:val="en" w:eastAsia="zh-CN" w:bidi="ar"/>
              </w:rPr>
            </w:pPr>
            <w:r>
              <w:rPr>
                <w:rStyle w:val="21"/>
                <w:rFonts w:hint="eastAsia" w:asciiTheme="majorEastAsia" w:hAnsiTheme="majorEastAsia" w:eastAsiaTheme="majorEastAsia" w:cstheme="majorEastAsia"/>
                <w:sz w:val="18"/>
                <w:szCs w:val="18"/>
                <w:lang w:val="en-US" w:eastAsia="zh-CN" w:bidi="ar"/>
              </w:rPr>
              <w:t>14</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21"/>
                <w:rFonts w:hint="eastAsia" w:asciiTheme="majorEastAsia" w:hAnsiTheme="majorEastAsia" w:eastAsiaTheme="majorEastAsia" w:cstheme="majorEastAsia"/>
                <w:sz w:val="18"/>
                <w:szCs w:val="18"/>
                <w:lang w:val="en-US" w:eastAsia="zh-CN" w:bidi="ar"/>
              </w:rPr>
            </w:pPr>
            <w:r>
              <w:rPr>
                <w:rStyle w:val="21"/>
                <w:rFonts w:hint="eastAsia" w:asciiTheme="majorEastAsia" w:hAnsiTheme="majorEastAsia" w:eastAsiaTheme="majorEastAsia" w:cstheme="majorEastAsia"/>
                <w:sz w:val="18"/>
                <w:szCs w:val="18"/>
                <w:lang w:val="en-US" w:eastAsia="zh-CN" w:bidi="ar"/>
              </w:rPr>
              <w:t>8</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21"/>
                <w:rFonts w:hint="eastAsia" w:asciiTheme="majorEastAsia" w:hAnsiTheme="majorEastAsia" w:eastAsiaTheme="majorEastAsia" w:cstheme="majorEastAsia"/>
                <w:sz w:val="18"/>
                <w:szCs w:val="18"/>
                <w:lang w:val="en-US" w:eastAsia="zh-CN" w:bidi="ar"/>
              </w:rPr>
            </w:pPr>
            <w:r>
              <w:rPr>
                <w:rStyle w:val="21"/>
                <w:rFonts w:hint="eastAsia" w:asciiTheme="majorEastAsia" w:hAnsiTheme="majorEastAsia" w:eastAsiaTheme="majorEastAsia" w:cstheme="majorEastAsia"/>
                <w:sz w:val="18"/>
                <w:szCs w:val="18"/>
                <w:lang w:val="en-US" w:eastAsia="zh-CN" w:bidi="ar"/>
              </w:rPr>
              <w:t>8</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c>
          <w:tcPr>
            <w:tcW w:w="7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Theme="majorEastAsia" w:hAnsiTheme="majorEastAsia" w:eastAsiaTheme="majorEastAsia" w:cstheme="majorEastAsia"/>
                <w:i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21"/>
                <w:rFonts w:hint="eastAsia" w:asciiTheme="majorEastAsia" w:hAnsiTheme="majorEastAsia" w:eastAsiaTheme="majorEastAsia" w:cstheme="majorEastAsia"/>
                <w:sz w:val="18"/>
                <w:szCs w:val="18"/>
                <w:lang w:val="en-US" w:eastAsia="zh-CN" w:bidi="ar"/>
              </w:rPr>
            </w:pPr>
            <w:r>
              <w:rPr>
                <w:rStyle w:val="21"/>
                <w:rFonts w:hint="eastAsia" w:asciiTheme="majorEastAsia" w:hAnsiTheme="majorEastAsia" w:eastAsiaTheme="majorEastAsia" w:cstheme="majorEastAsia"/>
                <w:sz w:val="18"/>
                <w:szCs w:val="18"/>
                <w:lang w:val="en-US" w:eastAsia="zh-CN" w:bidi="ar"/>
              </w:rPr>
              <w:t>湘商回归投资新注册企业</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21"/>
                <w:rFonts w:hint="eastAsia" w:asciiTheme="majorEastAsia" w:hAnsiTheme="majorEastAsia" w:eastAsiaTheme="majorEastAsia" w:cstheme="majorEastAsia"/>
                <w:sz w:val="18"/>
                <w:szCs w:val="18"/>
                <w:lang w:val="en" w:eastAsia="zh-CN" w:bidi="ar"/>
              </w:rPr>
            </w:pPr>
            <w:r>
              <w:rPr>
                <w:rStyle w:val="21"/>
                <w:rFonts w:hint="eastAsia" w:asciiTheme="majorEastAsia" w:hAnsiTheme="majorEastAsia" w:eastAsiaTheme="majorEastAsia" w:cstheme="majorEastAsia"/>
                <w:sz w:val="18"/>
                <w:szCs w:val="18"/>
                <w:lang w:val="en-US" w:eastAsia="zh-CN" w:bidi="ar"/>
              </w:rPr>
              <w:t>20家</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21"/>
                <w:rFonts w:hint="eastAsia" w:asciiTheme="majorEastAsia" w:hAnsiTheme="majorEastAsia" w:eastAsiaTheme="majorEastAsia" w:cstheme="majorEastAsia"/>
                <w:sz w:val="18"/>
                <w:szCs w:val="18"/>
                <w:lang w:val="en" w:eastAsia="zh-CN" w:bidi="ar"/>
              </w:rPr>
            </w:pPr>
            <w:r>
              <w:rPr>
                <w:rStyle w:val="21"/>
                <w:rFonts w:hint="eastAsia" w:asciiTheme="majorEastAsia" w:hAnsiTheme="majorEastAsia" w:eastAsiaTheme="majorEastAsia" w:cstheme="majorEastAsia"/>
                <w:sz w:val="18"/>
                <w:szCs w:val="18"/>
                <w:lang w:val="en-US" w:eastAsia="zh-CN" w:bidi="ar"/>
              </w:rPr>
              <w:t>26家</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21"/>
                <w:rFonts w:hint="eastAsia" w:asciiTheme="majorEastAsia" w:hAnsiTheme="majorEastAsia" w:eastAsiaTheme="majorEastAsia" w:cstheme="majorEastAsia"/>
                <w:sz w:val="18"/>
                <w:szCs w:val="18"/>
                <w:lang w:val="en-US" w:eastAsia="zh-CN" w:bidi="ar"/>
              </w:rPr>
            </w:pPr>
            <w:r>
              <w:rPr>
                <w:rStyle w:val="21"/>
                <w:rFonts w:hint="eastAsia" w:asciiTheme="majorEastAsia" w:hAnsiTheme="majorEastAsia" w:eastAsiaTheme="majorEastAsia" w:cstheme="majorEastAsia"/>
                <w:sz w:val="18"/>
                <w:szCs w:val="18"/>
                <w:lang w:val="en-US" w:eastAsia="zh-CN" w:bidi="ar"/>
              </w:rPr>
              <w:t>8</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21"/>
                <w:rFonts w:hint="eastAsia" w:asciiTheme="majorEastAsia" w:hAnsiTheme="majorEastAsia" w:eastAsiaTheme="majorEastAsia" w:cstheme="majorEastAsia"/>
                <w:sz w:val="18"/>
                <w:szCs w:val="18"/>
                <w:lang w:val="en-US" w:eastAsia="zh-CN" w:bidi="ar"/>
              </w:rPr>
            </w:pPr>
            <w:r>
              <w:rPr>
                <w:rStyle w:val="21"/>
                <w:rFonts w:hint="eastAsia" w:asciiTheme="majorEastAsia" w:hAnsiTheme="majorEastAsia" w:eastAsiaTheme="majorEastAsia" w:cstheme="majorEastAsia"/>
                <w:sz w:val="18"/>
                <w:szCs w:val="18"/>
                <w:lang w:val="en-US" w:eastAsia="zh-CN" w:bidi="ar"/>
              </w:rPr>
              <w:t>8</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5" w:hRule="atLeast"/>
        </w:trPr>
        <w:tc>
          <w:tcPr>
            <w:tcW w:w="7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c>
          <w:tcPr>
            <w:tcW w:w="7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Theme="majorEastAsia" w:hAnsiTheme="majorEastAsia" w:eastAsiaTheme="majorEastAsia" w:cstheme="majorEastAsia"/>
                <w:i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21"/>
                <w:rFonts w:hint="eastAsia" w:asciiTheme="majorEastAsia" w:hAnsiTheme="majorEastAsia" w:eastAsiaTheme="majorEastAsia" w:cstheme="majorEastAsia"/>
                <w:sz w:val="18"/>
                <w:szCs w:val="18"/>
                <w:lang w:val="en-US" w:eastAsia="zh-CN" w:bidi="ar"/>
              </w:rPr>
            </w:pPr>
            <w:r>
              <w:rPr>
                <w:rStyle w:val="21"/>
                <w:rFonts w:hint="eastAsia" w:asciiTheme="majorEastAsia" w:hAnsiTheme="majorEastAsia" w:eastAsiaTheme="majorEastAsia" w:cstheme="majorEastAsia"/>
                <w:sz w:val="18"/>
                <w:szCs w:val="18"/>
                <w:lang w:val="en-US" w:eastAsia="zh-CN" w:bidi="ar"/>
              </w:rPr>
              <w:t>新注册外商投资企业</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21"/>
                <w:rFonts w:hint="eastAsia" w:asciiTheme="majorEastAsia" w:hAnsiTheme="majorEastAsia" w:eastAsiaTheme="majorEastAsia" w:cstheme="majorEastAsia"/>
                <w:sz w:val="18"/>
                <w:szCs w:val="18"/>
                <w:lang w:val="en-US" w:eastAsia="zh-CN" w:bidi="ar"/>
              </w:rPr>
            </w:pPr>
            <w:r>
              <w:rPr>
                <w:rStyle w:val="21"/>
                <w:rFonts w:hint="eastAsia" w:asciiTheme="majorEastAsia" w:hAnsiTheme="majorEastAsia" w:eastAsiaTheme="majorEastAsia" w:cstheme="majorEastAsia"/>
                <w:sz w:val="18"/>
                <w:szCs w:val="18"/>
                <w:lang w:val="en-US" w:eastAsia="zh-CN" w:bidi="ar"/>
              </w:rPr>
              <w:t>9家</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21"/>
                <w:rFonts w:hint="eastAsia" w:asciiTheme="majorEastAsia" w:hAnsiTheme="majorEastAsia" w:eastAsiaTheme="majorEastAsia" w:cstheme="majorEastAsia"/>
                <w:sz w:val="18"/>
                <w:szCs w:val="18"/>
                <w:lang w:val="en-US" w:eastAsia="zh-CN" w:bidi="ar"/>
              </w:rPr>
            </w:pPr>
            <w:r>
              <w:rPr>
                <w:rStyle w:val="21"/>
                <w:rFonts w:hint="eastAsia" w:asciiTheme="majorEastAsia" w:hAnsiTheme="majorEastAsia" w:eastAsiaTheme="majorEastAsia" w:cstheme="majorEastAsia"/>
                <w:sz w:val="18"/>
                <w:szCs w:val="18"/>
                <w:lang w:val="en-US" w:eastAsia="zh-CN" w:bidi="ar"/>
              </w:rPr>
              <w:t>14家</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21"/>
                <w:rFonts w:hint="eastAsia" w:asciiTheme="majorEastAsia" w:hAnsiTheme="majorEastAsia" w:eastAsiaTheme="majorEastAsia" w:cstheme="majorEastAsia"/>
                <w:sz w:val="18"/>
                <w:szCs w:val="18"/>
                <w:lang w:val="en-US" w:eastAsia="zh-CN" w:bidi="ar"/>
              </w:rPr>
            </w:pPr>
            <w:r>
              <w:rPr>
                <w:rStyle w:val="21"/>
                <w:rFonts w:hint="eastAsia" w:asciiTheme="majorEastAsia" w:hAnsiTheme="majorEastAsia" w:eastAsiaTheme="majorEastAsia" w:cstheme="majorEastAsia"/>
                <w:sz w:val="18"/>
                <w:szCs w:val="18"/>
                <w:lang w:val="en-US" w:eastAsia="zh-CN" w:bidi="ar"/>
              </w:rPr>
              <w:t>8</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21"/>
                <w:rFonts w:hint="eastAsia" w:asciiTheme="majorEastAsia" w:hAnsiTheme="majorEastAsia" w:eastAsiaTheme="majorEastAsia" w:cstheme="majorEastAsia"/>
                <w:sz w:val="18"/>
                <w:szCs w:val="18"/>
                <w:lang w:val="en-US" w:eastAsia="zh-CN" w:bidi="ar"/>
              </w:rPr>
            </w:pPr>
            <w:r>
              <w:rPr>
                <w:rStyle w:val="21"/>
                <w:rFonts w:hint="eastAsia" w:asciiTheme="majorEastAsia" w:hAnsiTheme="majorEastAsia" w:eastAsiaTheme="majorEastAsia" w:cstheme="majorEastAsia"/>
                <w:sz w:val="18"/>
                <w:szCs w:val="18"/>
                <w:lang w:val="en-US" w:eastAsia="zh-CN" w:bidi="ar"/>
              </w:rPr>
              <w:t>8</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c>
          <w:tcPr>
            <w:tcW w:w="71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21"/>
                <w:rFonts w:hint="eastAsia" w:asciiTheme="majorEastAsia" w:hAnsiTheme="majorEastAsia" w:eastAsiaTheme="majorEastAsia" w:cstheme="majorEastAsia"/>
                <w:sz w:val="18"/>
                <w:szCs w:val="18"/>
                <w:lang w:val="en-US" w:eastAsia="zh-CN" w:bidi="ar"/>
              </w:rPr>
            </w:pPr>
            <w:r>
              <w:rPr>
                <w:rStyle w:val="21"/>
                <w:rFonts w:hint="eastAsia" w:asciiTheme="majorEastAsia" w:hAnsiTheme="majorEastAsia" w:eastAsiaTheme="majorEastAsia" w:cstheme="majorEastAsia"/>
                <w:sz w:val="18"/>
                <w:szCs w:val="18"/>
                <w:lang w:val="en-US" w:eastAsia="zh-CN" w:bidi="ar"/>
              </w:rPr>
              <w:t>质量指标</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21"/>
                <w:rFonts w:hint="eastAsia" w:asciiTheme="majorEastAsia" w:hAnsiTheme="majorEastAsia" w:eastAsiaTheme="majorEastAsia" w:cstheme="majorEastAsia"/>
                <w:sz w:val="18"/>
                <w:szCs w:val="18"/>
                <w:lang w:val="en-US" w:eastAsia="zh-CN" w:bidi="ar"/>
              </w:rPr>
            </w:pPr>
            <w:r>
              <w:rPr>
                <w:rStyle w:val="21"/>
                <w:rFonts w:hint="eastAsia" w:asciiTheme="majorEastAsia" w:hAnsiTheme="majorEastAsia" w:eastAsiaTheme="majorEastAsia" w:cstheme="majorEastAsia"/>
                <w:sz w:val="18"/>
                <w:szCs w:val="18"/>
                <w:lang w:val="en-US" w:eastAsia="zh-CN" w:bidi="ar"/>
              </w:rPr>
              <w:t>2020-2021州级签约项目履约率</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21"/>
                <w:rFonts w:hint="eastAsia" w:asciiTheme="majorEastAsia" w:hAnsiTheme="majorEastAsia" w:eastAsiaTheme="majorEastAsia" w:cstheme="majorEastAsia"/>
                <w:sz w:val="18"/>
                <w:szCs w:val="18"/>
                <w:lang w:val="en-US" w:eastAsia="zh-CN" w:bidi="ar"/>
              </w:rPr>
            </w:pPr>
            <w:r>
              <w:rPr>
                <w:rStyle w:val="21"/>
                <w:rFonts w:hint="eastAsia" w:asciiTheme="majorEastAsia" w:hAnsiTheme="majorEastAsia" w:eastAsiaTheme="majorEastAsia" w:cstheme="majorEastAsia"/>
                <w:sz w:val="18"/>
                <w:szCs w:val="18"/>
                <w:lang w:val="en-US" w:eastAsia="zh-CN" w:bidi="ar"/>
              </w:rPr>
              <w:t>70%以上</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21"/>
                <w:rFonts w:hint="eastAsia" w:asciiTheme="majorEastAsia" w:hAnsiTheme="majorEastAsia" w:eastAsiaTheme="majorEastAsia" w:cstheme="majorEastAsia"/>
                <w:sz w:val="18"/>
                <w:szCs w:val="18"/>
                <w:lang w:val="en" w:eastAsia="zh-CN" w:bidi="ar"/>
              </w:rPr>
            </w:pPr>
            <w:r>
              <w:rPr>
                <w:rStyle w:val="21"/>
                <w:rFonts w:hint="eastAsia" w:asciiTheme="majorEastAsia" w:hAnsiTheme="majorEastAsia" w:eastAsiaTheme="majorEastAsia" w:cstheme="majorEastAsia"/>
                <w:sz w:val="18"/>
                <w:szCs w:val="18"/>
                <w:lang w:val="en-US" w:eastAsia="zh-CN" w:bidi="ar"/>
              </w:rPr>
              <w:t>88.5%</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21"/>
                <w:rFonts w:hint="eastAsia" w:asciiTheme="majorEastAsia" w:hAnsiTheme="majorEastAsia" w:eastAsiaTheme="majorEastAsia" w:cstheme="majorEastAsia"/>
                <w:sz w:val="18"/>
                <w:szCs w:val="18"/>
                <w:lang w:val="en-US" w:eastAsia="zh-CN" w:bidi="ar"/>
              </w:rPr>
            </w:pPr>
            <w:r>
              <w:rPr>
                <w:rStyle w:val="21"/>
                <w:rFonts w:hint="eastAsia" w:asciiTheme="majorEastAsia" w:hAnsiTheme="majorEastAsia" w:eastAsiaTheme="majorEastAsia" w:cstheme="majorEastAsia"/>
                <w:sz w:val="18"/>
                <w:szCs w:val="18"/>
                <w:lang w:val="en-US" w:eastAsia="zh-CN" w:bidi="ar"/>
              </w:rPr>
              <w:t>8</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21"/>
                <w:rFonts w:hint="eastAsia" w:asciiTheme="majorEastAsia" w:hAnsiTheme="majorEastAsia" w:eastAsiaTheme="majorEastAsia" w:cstheme="majorEastAsia"/>
                <w:sz w:val="18"/>
                <w:szCs w:val="18"/>
                <w:lang w:val="en-US" w:eastAsia="zh-CN" w:bidi="ar"/>
              </w:rPr>
            </w:pPr>
            <w:r>
              <w:rPr>
                <w:rStyle w:val="21"/>
                <w:rFonts w:hint="eastAsia" w:asciiTheme="majorEastAsia" w:hAnsiTheme="majorEastAsia" w:eastAsiaTheme="majorEastAsia" w:cstheme="majorEastAsia"/>
                <w:sz w:val="18"/>
                <w:szCs w:val="18"/>
                <w:lang w:val="en-US" w:eastAsia="zh-CN" w:bidi="ar"/>
              </w:rPr>
              <w:t>8</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21"/>
                <w:rFonts w:hint="eastAsia" w:asciiTheme="majorEastAsia" w:hAnsiTheme="majorEastAsia" w:eastAsiaTheme="majorEastAsia" w:cstheme="majorEastAsia"/>
                <w:sz w:val="18"/>
                <w:szCs w:val="18"/>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9" w:hRule="atLeast"/>
        </w:trPr>
        <w:tc>
          <w:tcPr>
            <w:tcW w:w="7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c>
          <w:tcPr>
            <w:tcW w:w="714"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21"/>
                <w:rFonts w:hint="eastAsia" w:asciiTheme="majorEastAsia" w:hAnsiTheme="majorEastAsia" w:eastAsiaTheme="majorEastAsia" w:cstheme="majorEastAsia"/>
                <w:sz w:val="18"/>
                <w:szCs w:val="18"/>
                <w:lang w:val="en-US" w:eastAsia="zh-CN" w:bidi="ar"/>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21"/>
                <w:rFonts w:hint="eastAsia" w:asciiTheme="majorEastAsia" w:hAnsiTheme="majorEastAsia" w:eastAsiaTheme="majorEastAsia" w:cstheme="majorEastAsia"/>
                <w:sz w:val="18"/>
                <w:szCs w:val="18"/>
                <w:lang w:val="en-US" w:eastAsia="zh-CN" w:bidi="ar"/>
              </w:rPr>
            </w:pPr>
            <w:r>
              <w:rPr>
                <w:rStyle w:val="21"/>
                <w:rFonts w:hint="eastAsia" w:asciiTheme="majorEastAsia" w:hAnsiTheme="majorEastAsia" w:eastAsiaTheme="majorEastAsia" w:cstheme="majorEastAsia"/>
                <w:sz w:val="18"/>
                <w:szCs w:val="18"/>
                <w:lang w:val="en-US" w:eastAsia="zh-CN" w:bidi="ar"/>
              </w:rPr>
              <w:t>2020-2021省级签约项目履约率</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21"/>
                <w:rFonts w:hint="eastAsia" w:asciiTheme="majorEastAsia" w:hAnsiTheme="majorEastAsia" w:eastAsiaTheme="majorEastAsia" w:cstheme="majorEastAsia"/>
                <w:sz w:val="18"/>
                <w:szCs w:val="18"/>
                <w:lang w:val="en-US" w:eastAsia="zh-CN" w:bidi="ar"/>
              </w:rPr>
            </w:pPr>
            <w:r>
              <w:rPr>
                <w:rStyle w:val="21"/>
                <w:rFonts w:hint="eastAsia" w:asciiTheme="majorEastAsia" w:hAnsiTheme="majorEastAsia" w:eastAsiaTheme="majorEastAsia" w:cstheme="majorEastAsia"/>
                <w:sz w:val="18"/>
                <w:szCs w:val="18"/>
                <w:lang w:val="en-US" w:eastAsia="zh-CN" w:bidi="ar"/>
              </w:rPr>
              <w:t>90%以上</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21"/>
                <w:rFonts w:hint="eastAsia" w:asciiTheme="majorEastAsia" w:hAnsiTheme="majorEastAsia" w:eastAsiaTheme="majorEastAsia" w:cstheme="majorEastAsia"/>
                <w:sz w:val="18"/>
                <w:szCs w:val="18"/>
                <w:lang w:val="en" w:eastAsia="zh-CN" w:bidi="ar"/>
              </w:rPr>
            </w:pPr>
            <w:r>
              <w:rPr>
                <w:rStyle w:val="21"/>
                <w:rFonts w:hint="eastAsia" w:asciiTheme="majorEastAsia" w:hAnsiTheme="majorEastAsia" w:eastAsiaTheme="majorEastAsia" w:cstheme="majorEastAsia"/>
                <w:sz w:val="18"/>
                <w:szCs w:val="18"/>
                <w:lang w:val="en-US" w:eastAsia="zh-CN" w:bidi="ar"/>
              </w:rPr>
              <w:t>100%</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21"/>
                <w:rFonts w:hint="eastAsia" w:asciiTheme="majorEastAsia" w:hAnsiTheme="majorEastAsia" w:eastAsiaTheme="majorEastAsia" w:cstheme="majorEastAsia"/>
                <w:sz w:val="18"/>
                <w:szCs w:val="18"/>
                <w:lang w:val="en-US" w:eastAsia="zh-CN" w:bidi="ar"/>
              </w:rPr>
            </w:pPr>
            <w:r>
              <w:rPr>
                <w:rStyle w:val="21"/>
                <w:rFonts w:hint="eastAsia" w:asciiTheme="majorEastAsia" w:hAnsiTheme="majorEastAsia" w:eastAsiaTheme="majorEastAsia" w:cstheme="majorEastAsia"/>
                <w:sz w:val="18"/>
                <w:szCs w:val="18"/>
                <w:lang w:val="en-US" w:eastAsia="zh-CN" w:bidi="ar"/>
              </w:rPr>
              <w:t>8</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21"/>
                <w:rFonts w:hint="eastAsia" w:asciiTheme="majorEastAsia" w:hAnsiTheme="majorEastAsia" w:eastAsiaTheme="majorEastAsia" w:cstheme="majorEastAsia"/>
                <w:sz w:val="18"/>
                <w:szCs w:val="18"/>
                <w:lang w:val="en-US" w:eastAsia="zh-CN" w:bidi="ar"/>
              </w:rPr>
            </w:pPr>
            <w:r>
              <w:rPr>
                <w:rStyle w:val="21"/>
                <w:rFonts w:hint="eastAsia" w:asciiTheme="majorEastAsia" w:hAnsiTheme="majorEastAsia" w:eastAsiaTheme="majorEastAsia" w:cstheme="majorEastAsia"/>
                <w:sz w:val="18"/>
                <w:szCs w:val="18"/>
                <w:lang w:val="en-US" w:eastAsia="zh-CN" w:bidi="ar"/>
              </w:rPr>
              <w:t>8</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21"/>
                <w:rFonts w:hint="eastAsia" w:asciiTheme="majorEastAsia" w:hAnsiTheme="majorEastAsia" w:eastAsiaTheme="majorEastAsia" w:cstheme="majorEastAsia"/>
                <w:sz w:val="18"/>
                <w:szCs w:val="18"/>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8" w:hRule="atLeast"/>
        </w:trPr>
        <w:tc>
          <w:tcPr>
            <w:tcW w:w="7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21"/>
                <w:rFonts w:hint="eastAsia" w:asciiTheme="majorEastAsia" w:hAnsiTheme="majorEastAsia" w:eastAsiaTheme="majorEastAsia" w:cstheme="majorEastAsia"/>
                <w:sz w:val="18"/>
                <w:szCs w:val="18"/>
                <w:lang w:val="en-US" w:eastAsia="zh-CN" w:bidi="ar"/>
              </w:rPr>
            </w:pPr>
            <w:r>
              <w:rPr>
                <w:rStyle w:val="21"/>
                <w:rFonts w:hint="eastAsia" w:asciiTheme="majorEastAsia" w:hAnsiTheme="majorEastAsia" w:eastAsiaTheme="majorEastAsia" w:cstheme="majorEastAsia"/>
                <w:sz w:val="18"/>
                <w:szCs w:val="18"/>
                <w:lang w:val="en-US" w:eastAsia="zh-CN" w:bidi="ar"/>
              </w:rPr>
              <w:t>时效指标</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21"/>
                <w:rFonts w:hint="eastAsia" w:asciiTheme="majorEastAsia" w:hAnsiTheme="majorEastAsia" w:eastAsiaTheme="majorEastAsia" w:cstheme="majorEastAsia"/>
                <w:sz w:val="18"/>
                <w:szCs w:val="18"/>
                <w:lang w:val="en" w:eastAsia="zh-CN" w:bidi="ar"/>
              </w:rPr>
            </w:pPr>
            <w:r>
              <w:rPr>
                <w:rStyle w:val="21"/>
                <w:rFonts w:hint="eastAsia" w:asciiTheme="majorEastAsia" w:hAnsiTheme="majorEastAsia" w:eastAsiaTheme="majorEastAsia" w:cstheme="majorEastAsia"/>
                <w:sz w:val="18"/>
                <w:szCs w:val="18"/>
                <w:lang w:val="en" w:eastAsia="zh-CN" w:bidi="ar"/>
              </w:rPr>
              <w:t>当年完成任务</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21"/>
                <w:rFonts w:hint="eastAsia" w:asciiTheme="majorEastAsia" w:hAnsiTheme="majorEastAsia" w:eastAsiaTheme="majorEastAsia" w:cstheme="majorEastAsia"/>
                <w:sz w:val="18"/>
                <w:szCs w:val="18"/>
                <w:lang w:val="en-US" w:eastAsia="zh-CN" w:bidi="ar"/>
              </w:rPr>
            </w:pPr>
            <w:r>
              <w:rPr>
                <w:rStyle w:val="21"/>
                <w:rFonts w:hint="eastAsia" w:asciiTheme="majorEastAsia" w:hAnsiTheme="majorEastAsia" w:eastAsiaTheme="majorEastAsia" w:cstheme="majorEastAsia"/>
                <w:sz w:val="18"/>
                <w:szCs w:val="18"/>
                <w:lang w:val="en-US" w:eastAsia="zh-CN" w:bidi="ar"/>
              </w:rPr>
              <w:t>完成</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21"/>
                <w:rFonts w:hint="eastAsia" w:asciiTheme="majorEastAsia" w:hAnsiTheme="majorEastAsia" w:eastAsiaTheme="majorEastAsia" w:cstheme="majorEastAsia"/>
                <w:sz w:val="18"/>
                <w:szCs w:val="18"/>
                <w:lang w:val="en-US" w:eastAsia="zh-CN" w:bidi="ar"/>
              </w:rPr>
            </w:pPr>
            <w:r>
              <w:rPr>
                <w:rStyle w:val="21"/>
                <w:rFonts w:hint="eastAsia" w:asciiTheme="majorEastAsia" w:hAnsiTheme="majorEastAsia" w:eastAsiaTheme="majorEastAsia" w:cstheme="majorEastAsia"/>
                <w:sz w:val="18"/>
                <w:szCs w:val="18"/>
                <w:lang w:val="en-US" w:eastAsia="zh-CN" w:bidi="ar"/>
              </w:rPr>
              <w:t>完成</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21"/>
                <w:rFonts w:hint="eastAsia" w:asciiTheme="majorEastAsia" w:hAnsiTheme="majorEastAsia" w:eastAsiaTheme="majorEastAsia" w:cstheme="majorEastAsia"/>
                <w:sz w:val="18"/>
                <w:szCs w:val="18"/>
                <w:lang w:val="en-US" w:eastAsia="zh-CN" w:bidi="ar"/>
              </w:rPr>
            </w:pPr>
            <w:r>
              <w:rPr>
                <w:rStyle w:val="21"/>
                <w:rFonts w:hint="eastAsia" w:asciiTheme="majorEastAsia" w:hAnsiTheme="majorEastAsia" w:eastAsiaTheme="majorEastAsia" w:cstheme="majorEastAsia"/>
                <w:sz w:val="18"/>
                <w:szCs w:val="18"/>
                <w:lang w:val="en-US" w:eastAsia="zh-CN" w:bidi="ar"/>
              </w:rPr>
              <w:t>5</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21"/>
                <w:rFonts w:hint="eastAsia" w:asciiTheme="majorEastAsia" w:hAnsiTheme="majorEastAsia" w:eastAsiaTheme="majorEastAsia" w:cstheme="majorEastAsia"/>
                <w:sz w:val="18"/>
                <w:szCs w:val="18"/>
                <w:lang w:val="en-US" w:eastAsia="zh-CN" w:bidi="ar"/>
              </w:rPr>
            </w:pPr>
            <w:r>
              <w:rPr>
                <w:rStyle w:val="21"/>
                <w:rFonts w:hint="eastAsia" w:asciiTheme="majorEastAsia" w:hAnsiTheme="majorEastAsia" w:eastAsiaTheme="majorEastAsia" w:cstheme="majorEastAsia"/>
                <w:sz w:val="18"/>
                <w:szCs w:val="18"/>
                <w:lang w:val="en-US" w:eastAsia="zh-CN" w:bidi="ar"/>
              </w:rPr>
              <w:t>5</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21"/>
                <w:rFonts w:hint="eastAsia" w:asciiTheme="majorEastAsia" w:hAnsiTheme="majorEastAsia" w:eastAsiaTheme="majorEastAsia" w:cstheme="majorEastAsia"/>
                <w:sz w:val="18"/>
                <w:szCs w:val="18"/>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9" w:hRule="atLeast"/>
        </w:trPr>
        <w:tc>
          <w:tcPr>
            <w:tcW w:w="7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21"/>
                <w:rFonts w:hint="eastAsia" w:asciiTheme="majorEastAsia" w:hAnsiTheme="majorEastAsia" w:eastAsiaTheme="majorEastAsia" w:cstheme="majorEastAsia"/>
                <w:sz w:val="18"/>
                <w:szCs w:val="18"/>
                <w:lang w:val="en-US" w:eastAsia="zh-CN" w:bidi="ar"/>
              </w:rPr>
            </w:pPr>
            <w:r>
              <w:rPr>
                <w:rStyle w:val="21"/>
                <w:rFonts w:hint="eastAsia" w:asciiTheme="majorEastAsia" w:hAnsiTheme="majorEastAsia" w:eastAsiaTheme="majorEastAsia" w:cstheme="majorEastAsia"/>
                <w:sz w:val="18"/>
                <w:szCs w:val="18"/>
                <w:lang w:val="en-US" w:eastAsia="zh-CN" w:bidi="ar"/>
              </w:rPr>
              <w:t>成本指标</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21"/>
                <w:rFonts w:hint="eastAsia" w:asciiTheme="majorEastAsia" w:hAnsiTheme="majorEastAsia" w:eastAsiaTheme="majorEastAsia" w:cstheme="majorEastAsia"/>
                <w:sz w:val="18"/>
                <w:szCs w:val="18"/>
                <w:lang w:val="en-US" w:eastAsia="zh-CN" w:bidi="ar"/>
              </w:rPr>
            </w:pPr>
            <w:r>
              <w:rPr>
                <w:rStyle w:val="21"/>
                <w:rFonts w:hint="eastAsia" w:asciiTheme="majorEastAsia" w:hAnsiTheme="majorEastAsia" w:eastAsiaTheme="majorEastAsia" w:cstheme="majorEastAsia"/>
                <w:sz w:val="18"/>
                <w:szCs w:val="18"/>
                <w:lang w:val="en-US" w:eastAsia="zh-CN" w:bidi="ar"/>
              </w:rPr>
              <w:t>项目按时完成率（%）</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21"/>
                <w:rFonts w:hint="eastAsia" w:asciiTheme="majorEastAsia" w:hAnsiTheme="majorEastAsia" w:eastAsiaTheme="majorEastAsia" w:cstheme="majorEastAsia"/>
                <w:sz w:val="18"/>
                <w:szCs w:val="18"/>
                <w:lang w:val="en-US" w:eastAsia="zh-CN" w:bidi="ar"/>
              </w:rPr>
            </w:pPr>
            <w:r>
              <w:rPr>
                <w:rStyle w:val="21"/>
                <w:rFonts w:hint="eastAsia" w:asciiTheme="majorEastAsia" w:hAnsiTheme="majorEastAsia" w:eastAsiaTheme="majorEastAsia" w:cstheme="majorEastAsia"/>
                <w:sz w:val="18"/>
                <w:szCs w:val="18"/>
                <w:lang w:val="en-US" w:eastAsia="zh-CN" w:bidi="ar"/>
              </w:rPr>
              <w:t>100</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21"/>
                <w:rFonts w:hint="eastAsia" w:asciiTheme="majorEastAsia" w:hAnsiTheme="majorEastAsia" w:eastAsiaTheme="majorEastAsia" w:cstheme="majorEastAsia"/>
                <w:sz w:val="18"/>
                <w:szCs w:val="18"/>
                <w:lang w:val="en-US" w:eastAsia="zh-CN" w:bidi="ar"/>
              </w:rPr>
            </w:pPr>
            <w:r>
              <w:rPr>
                <w:rStyle w:val="21"/>
                <w:rFonts w:hint="eastAsia" w:asciiTheme="majorEastAsia" w:hAnsiTheme="majorEastAsia" w:eastAsiaTheme="majorEastAsia" w:cstheme="majorEastAsia"/>
                <w:sz w:val="18"/>
                <w:szCs w:val="18"/>
                <w:lang w:val="en-US" w:eastAsia="zh-CN" w:bidi="ar"/>
              </w:rPr>
              <w:t>100</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21"/>
                <w:rFonts w:hint="eastAsia" w:asciiTheme="majorEastAsia" w:hAnsiTheme="majorEastAsia" w:eastAsiaTheme="majorEastAsia" w:cstheme="majorEastAsia"/>
                <w:sz w:val="18"/>
                <w:szCs w:val="18"/>
                <w:lang w:val="en-US" w:eastAsia="zh-CN" w:bidi="ar"/>
              </w:rPr>
            </w:pPr>
            <w:r>
              <w:rPr>
                <w:rStyle w:val="21"/>
                <w:rFonts w:hint="eastAsia" w:asciiTheme="majorEastAsia" w:hAnsiTheme="majorEastAsia" w:eastAsiaTheme="majorEastAsia" w:cstheme="majorEastAsia"/>
                <w:sz w:val="18"/>
                <w:szCs w:val="18"/>
                <w:lang w:val="en-US" w:eastAsia="zh-CN" w:bidi="ar"/>
              </w:rPr>
              <w:t>5</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21"/>
                <w:rFonts w:hint="eastAsia" w:asciiTheme="majorEastAsia" w:hAnsiTheme="majorEastAsia" w:eastAsiaTheme="majorEastAsia" w:cstheme="majorEastAsia"/>
                <w:sz w:val="18"/>
                <w:szCs w:val="18"/>
                <w:lang w:val="en-US" w:eastAsia="zh-CN" w:bidi="ar"/>
              </w:rPr>
            </w:pPr>
            <w:r>
              <w:rPr>
                <w:rStyle w:val="21"/>
                <w:rFonts w:hint="eastAsia" w:asciiTheme="majorEastAsia" w:hAnsiTheme="majorEastAsia" w:eastAsiaTheme="majorEastAsia" w:cstheme="majorEastAsia"/>
                <w:sz w:val="18"/>
                <w:szCs w:val="18"/>
                <w:lang w:val="en-US" w:eastAsia="zh-CN" w:bidi="ar"/>
              </w:rPr>
              <w:t>5</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21"/>
                <w:rFonts w:hint="eastAsia" w:asciiTheme="majorEastAsia" w:hAnsiTheme="majorEastAsia" w:eastAsiaTheme="majorEastAsia" w:cstheme="majorEastAsia"/>
                <w:sz w:val="18"/>
                <w:szCs w:val="18"/>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2" w:hRule="atLeast"/>
        </w:trPr>
        <w:tc>
          <w:tcPr>
            <w:tcW w:w="7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c>
          <w:tcPr>
            <w:tcW w:w="7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sz w:val="18"/>
                <w:szCs w:val="18"/>
                <w:u w:val="none"/>
              </w:rPr>
            </w:pPr>
            <w:r>
              <w:rPr>
                <w:rStyle w:val="27"/>
                <w:rFonts w:hint="eastAsia" w:asciiTheme="majorEastAsia" w:hAnsiTheme="majorEastAsia" w:eastAsiaTheme="majorEastAsia" w:cstheme="majorEastAsia"/>
                <w:sz w:val="18"/>
                <w:szCs w:val="18"/>
                <w:lang w:val="en-US" w:eastAsia="zh-CN" w:bidi="ar"/>
              </w:rPr>
              <w:t>效益指</w:t>
            </w:r>
            <w:r>
              <w:rPr>
                <w:rStyle w:val="28"/>
                <w:rFonts w:hint="eastAsia" w:asciiTheme="majorEastAsia" w:hAnsiTheme="majorEastAsia" w:eastAsiaTheme="majorEastAsia" w:cstheme="majorEastAsia"/>
                <w:sz w:val="18"/>
                <w:szCs w:val="18"/>
                <w:lang w:val="en-US" w:eastAsia="zh-CN" w:bidi="ar"/>
              </w:rPr>
              <w:t>标（30分）</w:t>
            </w:r>
          </w:p>
        </w:tc>
        <w:tc>
          <w:tcPr>
            <w:tcW w:w="71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sz w:val="18"/>
                <w:szCs w:val="18"/>
                <w:u w:val="none"/>
              </w:rPr>
            </w:pPr>
            <w:r>
              <w:rPr>
                <w:rStyle w:val="23"/>
                <w:rFonts w:hint="eastAsia" w:asciiTheme="majorEastAsia" w:hAnsiTheme="majorEastAsia" w:eastAsiaTheme="majorEastAsia" w:cstheme="majorEastAsia"/>
                <w:sz w:val="18"/>
                <w:szCs w:val="18"/>
                <w:lang w:val="en-US" w:eastAsia="zh-CN" w:bidi="ar"/>
              </w:rPr>
              <w:t>经济</w:t>
            </w:r>
            <w:r>
              <w:rPr>
                <w:rStyle w:val="24"/>
                <w:rFonts w:hint="eastAsia" w:asciiTheme="majorEastAsia" w:hAnsiTheme="majorEastAsia" w:eastAsiaTheme="majorEastAsia" w:cstheme="majorEastAsia"/>
                <w:sz w:val="18"/>
                <w:szCs w:val="18"/>
                <w:lang w:val="en-US" w:eastAsia="zh-CN" w:bidi="ar"/>
              </w:rPr>
              <w:t>效益指标</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引进省外境内资金（亿元）</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sz w:val="18"/>
                <w:szCs w:val="18"/>
                <w:u w:val="none"/>
                <w:lang w:val="en"/>
              </w:rPr>
            </w:pPr>
            <w:r>
              <w:rPr>
                <w:rFonts w:hint="eastAsia" w:asciiTheme="majorEastAsia" w:hAnsiTheme="majorEastAsia" w:eastAsiaTheme="majorEastAsia" w:cstheme="majorEastAsia"/>
                <w:i w:val="0"/>
                <w:color w:val="000000"/>
                <w:kern w:val="0"/>
                <w:sz w:val="18"/>
                <w:szCs w:val="18"/>
                <w:u w:val="none"/>
                <w:lang w:val="en" w:eastAsia="zh-CN" w:bidi="ar"/>
              </w:rPr>
              <w:t>204</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sz w:val="18"/>
                <w:szCs w:val="18"/>
                <w:u w:val="none"/>
                <w:lang w:val="en"/>
              </w:rPr>
            </w:pPr>
            <w:r>
              <w:rPr>
                <w:rFonts w:hint="eastAsia" w:asciiTheme="majorEastAsia" w:hAnsiTheme="majorEastAsia" w:eastAsiaTheme="majorEastAsia" w:cstheme="majorEastAsia"/>
                <w:i w:val="0"/>
                <w:color w:val="000000"/>
                <w:kern w:val="0"/>
                <w:sz w:val="18"/>
                <w:szCs w:val="18"/>
                <w:u w:val="none"/>
                <w:lang w:val="en" w:eastAsia="zh-CN" w:bidi="ar"/>
              </w:rPr>
              <w:t>208.7</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sz w:val="18"/>
                <w:szCs w:val="18"/>
                <w:u w:val="none"/>
                <w:lang w:val="en"/>
              </w:rPr>
            </w:pPr>
            <w:r>
              <w:rPr>
                <w:rFonts w:hint="eastAsia" w:asciiTheme="majorEastAsia" w:hAnsiTheme="majorEastAsia" w:eastAsiaTheme="majorEastAsia" w:cstheme="majorEastAsia"/>
                <w:i w:val="0"/>
                <w:color w:val="000000"/>
                <w:kern w:val="0"/>
                <w:sz w:val="18"/>
                <w:szCs w:val="18"/>
                <w:u w:val="none"/>
                <w:lang w:val="en-US" w:eastAsia="zh-CN" w:bidi="ar"/>
              </w:rPr>
              <w:t>6</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sz w:val="18"/>
                <w:szCs w:val="18"/>
                <w:u w:val="none"/>
                <w:lang w:val="en"/>
              </w:rPr>
            </w:pPr>
            <w:r>
              <w:rPr>
                <w:rFonts w:hint="eastAsia" w:asciiTheme="majorEastAsia" w:hAnsiTheme="majorEastAsia" w:eastAsiaTheme="majorEastAsia" w:cstheme="majorEastAsia"/>
                <w:i w:val="0"/>
                <w:color w:val="000000"/>
                <w:kern w:val="0"/>
                <w:sz w:val="18"/>
                <w:szCs w:val="18"/>
                <w:u w:val="none"/>
                <w:lang w:val="en-US" w:eastAsia="zh-CN" w:bidi="ar"/>
              </w:rPr>
              <w:t>6</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7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c>
          <w:tcPr>
            <w:tcW w:w="714"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实际利用外资(万美元)</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sz w:val="18"/>
                <w:szCs w:val="18"/>
                <w:u w:val="none"/>
                <w:lang w:val="en"/>
              </w:rPr>
            </w:pPr>
            <w:r>
              <w:rPr>
                <w:rFonts w:hint="eastAsia" w:asciiTheme="majorEastAsia" w:hAnsiTheme="majorEastAsia" w:eastAsiaTheme="majorEastAsia" w:cstheme="majorEastAsia"/>
                <w:i w:val="0"/>
                <w:color w:val="000000"/>
                <w:kern w:val="0"/>
                <w:sz w:val="18"/>
                <w:szCs w:val="18"/>
                <w:u w:val="none"/>
                <w:lang w:val="en" w:eastAsia="zh-CN" w:bidi="ar"/>
              </w:rPr>
              <w:t>405</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sz w:val="18"/>
                <w:szCs w:val="18"/>
                <w:u w:val="none"/>
                <w:lang w:val="en"/>
              </w:rPr>
            </w:pPr>
            <w:r>
              <w:rPr>
                <w:rFonts w:hint="eastAsia" w:asciiTheme="majorEastAsia" w:hAnsiTheme="majorEastAsia" w:eastAsiaTheme="majorEastAsia" w:cstheme="majorEastAsia"/>
                <w:i w:val="0"/>
                <w:color w:val="000000"/>
                <w:kern w:val="0"/>
                <w:sz w:val="18"/>
                <w:szCs w:val="18"/>
                <w:u w:val="none"/>
                <w:lang w:val="en" w:eastAsia="zh-CN" w:bidi="ar"/>
              </w:rPr>
              <w:t>609</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6</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sz w:val="18"/>
                <w:szCs w:val="18"/>
                <w:u w:val="none"/>
                <w:lang w:val="en"/>
              </w:rPr>
            </w:pPr>
            <w:r>
              <w:rPr>
                <w:rFonts w:hint="eastAsia" w:asciiTheme="majorEastAsia" w:hAnsiTheme="majorEastAsia" w:eastAsiaTheme="majorEastAsia" w:cstheme="majorEastAsia"/>
                <w:i w:val="0"/>
                <w:color w:val="000000"/>
                <w:kern w:val="0"/>
                <w:sz w:val="18"/>
                <w:szCs w:val="18"/>
                <w:u w:val="none"/>
                <w:lang w:val="en-US" w:eastAsia="zh-CN" w:bidi="ar"/>
              </w:rPr>
              <w:t>6</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6" w:hRule="atLeast"/>
        </w:trPr>
        <w:tc>
          <w:tcPr>
            <w:tcW w:w="7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c>
          <w:tcPr>
            <w:tcW w:w="714"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kern w:val="2"/>
                <w:sz w:val="18"/>
                <w:szCs w:val="18"/>
                <w:u w:val="none"/>
                <w:lang w:val="en-US" w:eastAsia="zh-CN" w:bidi="ar-SA"/>
              </w:rPr>
            </w:pPr>
            <w:r>
              <w:rPr>
                <w:rFonts w:hint="eastAsia" w:asciiTheme="majorEastAsia" w:hAnsiTheme="majorEastAsia" w:eastAsiaTheme="majorEastAsia" w:cstheme="majorEastAsia"/>
                <w:i w:val="0"/>
                <w:color w:val="000000"/>
                <w:kern w:val="0"/>
                <w:sz w:val="18"/>
                <w:szCs w:val="18"/>
                <w:u w:val="none"/>
                <w:lang w:val="en-US" w:eastAsia="zh-CN" w:bidi="ar"/>
              </w:rPr>
              <w:t>外贸进出口额（亿元）</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kern w:val="2"/>
                <w:sz w:val="18"/>
                <w:szCs w:val="18"/>
                <w:u w:val="none"/>
                <w:lang w:val="en" w:eastAsia="zh-CN" w:bidi="ar-SA"/>
              </w:rPr>
            </w:pPr>
            <w:r>
              <w:rPr>
                <w:rFonts w:hint="eastAsia" w:asciiTheme="majorEastAsia" w:hAnsiTheme="majorEastAsia" w:eastAsiaTheme="majorEastAsia" w:cstheme="majorEastAsia"/>
                <w:i w:val="0"/>
                <w:color w:val="000000"/>
                <w:kern w:val="0"/>
                <w:sz w:val="18"/>
                <w:szCs w:val="18"/>
                <w:u w:val="none"/>
                <w:lang w:val="en" w:eastAsia="zh-CN" w:bidi="ar"/>
              </w:rPr>
              <w:t>19.84</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kern w:val="2"/>
                <w:sz w:val="18"/>
                <w:szCs w:val="18"/>
                <w:u w:val="none"/>
                <w:lang w:val="en" w:eastAsia="zh-CN" w:bidi="ar-SA"/>
              </w:rPr>
            </w:pPr>
            <w:r>
              <w:rPr>
                <w:rFonts w:hint="eastAsia" w:asciiTheme="majorEastAsia" w:hAnsiTheme="majorEastAsia" w:eastAsiaTheme="majorEastAsia" w:cstheme="majorEastAsia"/>
                <w:i w:val="0"/>
                <w:color w:val="000000"/>
                <w:kern w:val="2"/>
                <w:sz w:val="18"/>
                <w:szCs w:val="18"/>
                <w:u w:val="none"/>
                <w:lang w:val="en" w:eastAsia="zh-CN" w:bidi="ar-SA"/>
              </w:rPr>
              <w:t>21.63</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kern w:val="0"/>
                <w:sz w:val="18"/>
                <w:szCs w:val="18"/>
                <w:u w:val="none"/>
                <w:lang w:val="en"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6</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kern w:val="0"/>
                <w:sz w:val="18"/>
                <w:szCs w:val="18"/>
                <w:u w:val="none"/>
                <w:lang w:val="en"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6</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90" w:hRule="atLeast"/>
        </w:trPr>
        <w:tc>
          <w:tcPr>
            <w:tcW w:w="7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c>
          <w:tcPr>
            <w:tcW w:w="714"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r>
              <w:rPr>
                <w:rStyle w:val="23"/>
                <w:rFonts w:hint="eastAsia" w:asciiTheme="majorEastAsia" w:hAnsiTheme="majorEastAsia" w:eastAsiaTheme="majorEastAsia" w:cstheme="majorEastAsia"/>
                <w:sz w:val="18"/>
                <w:szCs w:val="18"/>
                <w:lang w:val="en-US" w:eastAsia="zh-CN" w:bidi="ar"/>
              </w:rPr>
              <w:t>社会</w:t>
            </w:r>
            <w:r>
              <w:rPr>
                <w:rStyle w:val="24"/>
                <w:rFonts w:hint="eastAsia" w:asciiTheme="majorEastAsia" w:hAnsiTheme="majorEastAsia" w:eastAsiaTheme="majorEastAsia" w:cstheme="majorEastAsia"/>
                <w:sz w:val="18"/>
                <w:szCs w:val="18"/>
                <w:lang w:val="en-US" w:eastAsia="zh-CN" w:bidi="ar"/>
              </w:rPr>
              <w:t>效益指标</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是否营造农厚的招商氛围</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kern w:val="0"/>
                <w:sz w:val="18"/>
                <w:szCs w:val="18"/>
                <w:u w:val="none"/>
                <w:lang w:val="en" w:eastAsia="zh-CN" w:bidi="ar"/>
              </w:rPr>
            </w:pPr>
            <w:r>
              <w:rPr>
                <w:rFonts w:hint="eastAsia" w:asciiTheme="majorEastAsia" w:hAnsiTheme="majorEastAsia" w:eastAsiaTheme="majorEastAsia" w:cstheme="majorEastAsia"/>
                <w:i w:val="0"/>
                <w:color w:val="000000"/>
                <w:kern w:val="0"/>
                <w:sz w:val="18"/>
                <w:szCs w:val="18"/>
                <w:u w:val="none"/>
                <w:lang w:val="en" w:eastAsia="zh-CN" w:bidi="ar"/>
              </w:rPr>
              <w:t>营造浓厚的招商氛围</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color w:val="000000"/>
                <w:kern w:val="2"/>
                <w:sz w:val="18"/>
                <w:szCs w:val="18"/>
                <w:u w:val="none"/>
                <w:lang w:val="en" w:eastAsia="zh-CN" w:bidi="ar-SA"/>
              </w:rPr>
            </w:pPr>
            <w:r>
              <w:rPr>
                <w:rFonts w:hint="eastAsia" w:asciiTheme="majorEastAsia" w:hAnsiTheme="majorEastAsia" w:eastAsiaTheme="majorEastAsia" w:cstheme="majorEastAsia"/>
                <w:i w:val="0"/>
                <w:color w:val="000000"/>
                <w:kern w:val="2"/>
                <w:sz w:val="18"/>
                <w:szCs w:val="18"/>
                <w:u w:val="none"/>
                <w:lang w:val="en" w:eastAsia="zh-CN" w:bidi="ar-SA"/>
              </w:rPr>
              <w:t>出台《湘西自治州优势产业精准招商行动计划（2022-2025）》，创新推进挂帅领衔、主动上门、云端隔屏“三个一批”招商模式，组织举办三场重大经贸招商活动</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6</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5</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sz w:val="18"/>
                <w:szCs w:val="18"/>
                <w:u w:val="none"/>
              </w:rPr>
              <w:t>围绕10条优势产业链建设需要，进一步建库搭台优环境，打造“迎老乡、回故乡、建家乡”升级版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1" w:hRule="atLeast"/>
        </w:trPr>
        <w:tc>
          <w:tcPr>
            <w:tcW w:w="7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color w:val="000000"/>
                <w:sz w:val="18"/>
                <w:szCs w:val="18"/>
                <w:u w:val="none"/>
              </w:rPr>
            </w:pPr>
            <w:r>
              <w:rPr>
                <w:rStyle w:val="23"/>
                <w:rFonts w:hint="eastAsia" w:asciiTheme="majorEastAsia" w:hAnsiTheme="majorEastAsia" w:eastAsiaTheme="majorEastAsia" w:cstheme="majorEastAsia"/>
                <w:sz w:val="18"/>
                <w:szCs w:val="18"/>
                <w:lang w:val="en-US" w:eastAsia="zh-CN" w:bidi="ar"/>
              </w:rPr>
              <w:t>可持续影响指</w:t>
            </w:r>
            <w:r>
              <w:rPr>
                <w:rStyle w:val="24"/>
                <w:rFonts w:hint="eastAsia" w:asciiTheme="majorEastAsia" w:hAnsiTheme="majorEastAsia" w:eastAsiaTheme="majorEastAsia" w:cstheme="majorEastAsia"/>
                <w:sz w:val="18"/>
                <w:szCs w:val="18"/>
                <w:lang w:val="en-US" w:eastAsia="zh-CN" w:bidi="ar"/>
              </w:rPr>
              <w:t>标</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优化营商环境</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加强营商环境优化服务</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制定《湘西州商务局优化营商环境工作方案》，列出10大任务清单，压茬式、一体化推进</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6</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5</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sz w:val="18"/>
                <w:szCs w:val="18"/>
                <w:u w:val="none"/>
              </w:rPr>
              <w:t>加快政策奖补兑现，提高服务群众、企业办事效率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c>
          <w:tcPr>
            <w:tcW w:w="7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sz w:val="18"/>
                <w:szCs w:val="18"/>
                <w:u w:val="none"/>
              </w:rPr>
            </w:pPr>
            <w:r>
              <w:rPr>
                <w:rStyle w:val="27"/>
                <w:rFonts w:hint="eastAsia" w:asciiTheme="majorEastAsia" w:hAnsiTheme="majorEastAsia" w:eastAsiaTheme="majorEastAsia" w:cstheme="majorEastAsia"/>
                <w:sz w:val="18"/>
                <w:szCs w:val="18"/>
                <w:lang w:val="en-US" w:eastAsia="zh-CN" w:bidi="ar"/>
              </w:rPr>
              <w:t>满意</w:t>
            </w:r>
            <w:r>
              <w:rPr>
                <w:rStyle w:val="28"/>
                <w:rFonts w:hint="eastAsia" w:asciiTheme="majorEastAsia" w:hAnsiTheme="majorEastAsia" w:eastAsiaTheme="majorEastAsia" w:cstheme="majorEastAsia"/>
                <w:sz w:val="18"/>
                <w:szCs w:val="18"/>
                <w:lang w:val="en-US" w:eastAsia="zh-CN" w:bidi="ar"/>
              </w:rPr>
              <w:t>度指标（10分）</w:t>
            </w:r>
          </w:p>
        </w:tc>
        <w:tc>
          <w:tcPr>
            <w:tcW w:w="7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color w:val="000000"/>
                <w:sz w:val="18"/>
                <w:szCs w:val="18"/>
                <w:u w:val="none"/>
              </w:rPr>
            </w:pPr>
            <w:r>
              <w:rPr>
                <w:rStyle w:val="23"/>
                <w:rFonts w:hint="eastAsia" w:asciiTheme="majorEastAsia" w:hAnsiTheme="majorEastAsia" w:eastAsiaTheme="majorEastAsia" w:cstheme="majorEastAsia"/>
                <w:sz w:val="18"/>
                <w:szCs w:val="18"/>
                <w:lang w:val="en-US" w:eastAsia="zh-CN" w:bidi="ar"/>
              </w:rPr>
              <w:t>服务对象满意度指</w:t>
            </w:r>
            <w:r>
              <w:rPr>
                <w:rStyle w:val="24"/>
                <w:rFonts w:hint="eastAsia" w:asciiTheme="majorEastAsia" w:hAnsiTheme="majorEastAsia" w:eastAsiaTheme="majorEastAsia" w:cstheme="majorEastAsia"/>
                <w:sz w:val="18"/>
                <w:szCs w:val="18"/>
                <w:lang w:val="en-US" w:eastAsia="zh-CN" w:bidi="ar"/>
              </w:rPr>
              <w:t>标</w:t>
            </w:r>
          </w:p>
        </w:tc>
        <w:tc>
          <w:tcPr>
            <w:tcW w:w="10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社会公众满意度</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≥90%</w:t>
            </w:r>
          </w:p>
        </w:tc>
        <w:tc>
          <w:tcPr>
            <w:tcW w:w="20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  95%以上</w:t>
            </w:r>
          </w:p>
        </w:tc>
        <w:tc>
          <w:tcPr>
            <w:tcW w:w="7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5</w:t>
            </w:r>
          </w:p>
        </w:tc>
        <w:tc>
          <w:tcPr>
            <w:tcW w:w="7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5</w:t>
            </w:r>
          </w:p>
        </w:tc>
        <w:tc>
          <w:tcPr>
            <w:tcW w:w="14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c>
          <w:tcPr>
            <w:tcW w:w="7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Theme="majorEastAsia" w:hAnsiTheme="majorEastAsia" w:eastAsiaTheme="majorEastAsia" w:cstheme="majorEastAsia"/>
                <w:i w:val="0"/>
                <w:color w:val="000000"/>
                <w:sz w:val="18"/>
                <w:szCs w:val="18"/>
                <w:u w:val="none"/>
              </w:rPr>
            </w:pPr>
          </w:p>
        </w:tc>
        <w:tc>
          <w:tcPr>
            <w:tcW w:w="10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c>
          <w:tcPr>
            <w:tcW w:w="20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c>
          <w:tcPr>
            <w:tcW w:w="14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9" w:hRule="atLeast"/>
        </w:trPr>
        <w:tc>
          <w:tcPr>
            <w:tcW w:w="7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c>
          <w:tcPr>
            <w:tcW w:w="7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Theme="majorEastAsia" w:hAnsiTheme="majorEastAsia" w:eastAsiaTheme="majorEastAsia" w:cstheme="majorEastAsia"/>
                <w:i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服务对象满意度</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≥90%</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sz w:val="18"/>
                <w:szCs w:val="18"/>
                <w:u w:val="none"/>
                <w:lang w:val="en-US" w:eastAsia="zh-CN"/>
              </w:rPr>
            </w:pPr>
            <w:r>
              <w:rPr>
                <w:rFonts w:hint="eastAsia" w:asciiTheme="majorEastAsia" w:hAnsiTheme="majorEastAsia" w:eastAsiaTheme="majorEastAsia" w:cstheme="majorEastAsia"/>
                <w:i w:val="0"/>
                <w:color w:val="000000"/>
                <w:sz w:val="18"/>
                <w:szCs w:val="18"/>
                <w:u w:val="none"/>
                <w:lang w:val="en-US" w:eastAsia="zh-CN"/>
              </w:rPr>
              <w:t>95%以上</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5</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5</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609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sz w:val="18"/>
                <w:szCs w:val="18"/>
                <w:u w:val="none"/>
              </w:rPr>
            </w:pPr>
            <w:r>
              <w:rPr>
                <w:rStyle w:val="23"/>
                <w:rFonts w:hint="eastAsia" w:asciiTheme="majorEastAsia" w:hAnsiTheme="majorEastAsia" w:eastAsiaTheme="majorEastAsia" w:cstheme="majorEastAsia"/>
                <w:sz w:val="18"/>
                <w:szCs w:val="18"/>
                <w:lang w:val="en-US" w:eastAsia="zh-CN" w:bidi="ar"/>
              </w:rPr>
              <w:t>总</w:t>
            </w:r>
            <w:r>
              <w:rPr>
                <w:rStyle w:val="24"/>
                <w:rFonts w:hint="eastAsia" w:asciiTheme="majorEastAsia" w:hAnsiTheme="majorEastAsia" w:eastAsiaTheme="majorEastAsia" w:cstheme="majorEastAsia"/>
                <w:sz w:val="18"/>
                <w:szCs w:val="18"/>
                <w:lang w:val="en-US" w:eastAsia="zh-CN" w:bidi="ar"/>
              </w:rPr>
              <w:t>分</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100</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heme="majorEastAsia" w:hAnsiTheme="majorEastAsia" w:eastAsiaTheme="majorEastAsia" w:cstheme="majorEastAsia"/>
                <w:i w:val="0"/>
                <w:color w:val="000000"/>
                <w:sz w:val="18"/>
                <w:szCs w:val="18"/>
                <w:u w:val="none"/>
                <w:lang w:val="en-US"/>
              </w:rPr>
            </w:pPr>
            <w:r>
              <w:rPr>
                <w:rFonts w:hint="eastAsia" w:asciiTheme="majorEastAsia" w:hAnsiTheme="majorEastAsia" w:eastAsiaTheme="majorEastAsia" w:cstheme="majorEastAsia"/>
                <w:i w:val="0"/>
                <w:color w:val="000000"/>
                <w:kern w:val="0"/>
                <w:sz w:val="18"/>
                <w:szCs w:val="18"/>
                <w:u w:val="none"/>
                <w:lang w:val="en-US" w:eastAsia="zh-CN" w:bidi="ar"/>
              </w:rPr>
              <w:t>98</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r>
    </w:tbl>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left"/>
        <w:textAlignment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kern w:val="2"/>
          <w:sz w:val="18"/>
          <w:szCs w:val="18"/>
          <w:lang w:val="en-US" w:eastAsia="zh-CN" w:bidi="ar-SA"/>
        </w:rPr>
        <w:t>说明：此表项目支出不包括财政部门要求单独进行项目支出绩效自评项目，每个一级项目支出填写一张项目支出绩效自评表。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left"/>
        <w:textAlignment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kern w:val="2"/>
          <w:sz w:val="18"/>
          <w:szCs w:val="18"/>
          <w:lang w:val="en-US" w:eastAsia="zh-CN" w:bidi="ar-SA"/>
        </w:rPr>
        <w:t>单位负责人签字： 杨凌      填表人：彭艳      联系电话： 8528269     填报日期：2023年6月1日</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left"/>
        <w:textAlignment w:val="center"/>
        <w:rPr>
          <w:rFonts w:hint="eastAsia" w:asciiTheme="majorEastAsia" w:hAnsiTheme="majorEastAsia" w:eastAsiaTheme="majorEastAsia" w:cstheme="majorEastAsia"/>
          <w:kern w:val="2"/>
          <w:sz w:val="18"/>
          <w:szCs w:val="18"/>
          <w:lang w:val="en-US" w:eastAsia="zh-CN" w:bidi="ar-SA"/>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left"/>
        <w:textAlignment w:val="center"/>
        <w:rPr>
          <w:rFonts w:hint="eastAsia" w:ascii="仿宋" w:hAnsi="仿宋" w:eastAsia="仿宋" w:cs="仿宋"/>
          <w:kern w:val="2"/>
          <w:sz w:val="21"/>
          <w:szCs w:val="21"/>
          <w:lang w:val="en-US" w:eastAsia="zh-CN" w:bidi="ar-SA"/>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left"/>
        <w:textAlignment w:val="center"/>
        <w:rPr>
          <w:rFonts w:hint="eastAsia" w:ascii="仿宋" w:hAnsi="仿宋" w:eastAsia="仿宋" w:cs="仿宋"/>
          <w:kern w:val="2"/>
          <w:sz w:val="21"/>
          <w:szCs w:val="21"/>
          <w:lang w:val="en-US" w:eastAsia="zh-CN" w:bidi="ar-SA"/>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left"/>
        <w:textAlignment w:val="center"/>
        <w:rPr>
          <w:rFonts w:hint="eastAsia" w:ascii="仿宋" w:hAnsi="仿宋" w:eastAsia="仿宋" w:cs="仿宋"/>
          <w:kern w:val="2"/>
          <w:sz w:val="21"/>
          <w:szCs w:val="21"/>
          <w:lang w:val="en-US" w:eastAsia="zh-CN" w:bidi="ar-SA"/>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center"/>
        <w:rPr>
          <w:rFonts w:hint="eastAsia" w:eastAsia="仿宋_GB2312" w:cs="仿宋_GB2312"/>
          <w:kern w:val="2"/>
          <w:sz w:val="32"/>
          <w:szCs w:val="32"/>
          <w:lang w:val="en-US" w:eastAsia="zh-CN" w:bidi="ar-SA"/>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center"/>
        <w:rPr>
          <w:rFonts w:hint="eastAsia" w:eastAsia="仿宋_GB2312" w:cs="仿宋_GB2312"/>
          <w:kern w:val="2"/>
          <w:sz w:val="32"/>
          <w:szCs w:val="32"/>
          <w:lang w:val="en-US" w:eastAsia="zh-CN" w:bidi="ar-SA"/>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center"/>
        <w:rPr>
          <w:rFonts w:hint="default" w:ascii="方正小标宋_GBK" w:hAnsi="方正小标宋_GBK" w:eastAsia="方正小标宋_GBK" w:cs="方正小标宋_GBK"/>
          <w:kern w:val="2"/>
          <w:sz w:val="32"/>
          <w:szCs w:val="32"/>
          <w:lang w:val="en-US" w:eastAsia="zh-CN" w:bidi="ar-SA"/>
        </w:rPr>
      </w:pPr>
      <w:r>
        <w:rPr>
          <w:rFonts w:hint="eastAsia" w:eastAsia="仿宋_GB2312" w:cs="仿宋_GB2312"/>
          <w:kern w:val="2"/>
          <w:sz w:val="32"/>
          <w:szCs w:val="32"/>
          <w:lang w:val="en-US" w:eastAsia="zh-CN" w:bidi="ar-SA"/>
        </w:rPr>
        <w:t>附件3</w:t>
      </w:r>
      <w:r>
        <w:rPr>
          <w:rFonts w:hint="default" w:eastAsia="仿宋_GB2312" w:cs="仿宋_GB2312"/>
          <w:kern w:val="2"/>
          <w:sz w:val="32"/>
          <w:szCs w:val="32"/>
          <w:lang w:val="en" w:eastAsia="zh-CN" w:bidi="ar-SA"/>
        </w:rPr>
        <w:t>-</w:t>
      </w:r>
      <w:r>
        <w:rPr>
          <w:rFonts w:hint="eastAsia" w:eastAsia="仿宋_GB2312" w:cs="仿宋_GB2312"/>
          <w:kern w:val="2"/>
          <w:sz w:val="32"/>
          <w:szCs w:val="32"/>
          <w:lang w:val="en-US" w:eastAsia="zh-CN" w:bidi="ar-SA"/>
        </w:rPr>
        <w:t>2</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5" w:beforeAutospacing="0" w:after="0" w:afterAutospacing="0" w:line="20" w:lineRule="atLeast"/>
        <w:ind w:left="0" w:right="0" w:firstLine="0"/>
        <w:jc w:val="center"/>
        <w:textAlignment w:val="center"/>
        <w:rPr>
          <w:rFonts w:hint="eastAsia" w:ascii="方正小标宋_GBK" w:hAnsi="方正小标宋_GBK" w:eastAsia="方正小标宋_GBK" w:cs="方正小标宋_GBK"/>
          <w:i w:val="0"/>
          <w:iCs w:val="0"/>
          <w:caps w:val="0"/>
          <w:color w:val="333333"/>
          <w:spacing w:val="0"/>
          <w:sz w:val="44"/>
          <w:szCs w:val="44"/>
        </w:rPr>
      </w:pPr>
      <w:r>
        <w:rPr>
          <w:rFonts w:hint="eastAsia" w:ascii="方正小标宋_GBK" w:hAnsi="方正小标宋_GBK" w:eastAsia="方正小标宋_GBK" w:cs="方正小标宋_GBK"/>
          <w:i w:val="0"/>
          <w:iCs w:val="0"/>
          <w:caps w:val="0"/>
          <w:color w:val="333333"/>
          <w:spacing w:val="0"/>
          <w:sz w:val="44"/>
          <w:szCs w:val="44"/>
          <w:lang w:val="en-US" w:eastAsia="zh-CN"/>
        </w:rPr>
        <w:t xml:space="preserve"> </w:t>
      </w:r>
      <w:r>
        <w:rPr>
          <w:rFonts w:hint="eastAsia" w:ascii="方正小标宋_GBK" w:hAnsi="方正小标宋_GBK" w:eastAsia="方正小标宋_GBK" w:cs="方正小标宋_GBK"/>
          <w:i w:val="0"/>
          <w:iCs w:val="0"/>
          <w:caps w:val="0"/>
          <w:color w:val="333333"/>
          <w:spacing w:val="0"/>
          <w:sz w:val="44"/>
          <w:szCs w:val="44"/>
        </w:rPr>
        <w:t>州级预算部门项目支出绩效自评表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（2022年度）</w:t>
      </w:r>
    </w:p>
    <w:tbl>
      <w:tblPr>
        <w:tblStyle w:val="10"/>
        <w:tblW w:w="896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31"/>
        <w:gridCol w:w="732"/>
        <w:gridCol w:w="714"/>
        <w:gridCol w:w="1213"/>
        <w:gridCol w:w="1011"/>
        <w:gridCol w:w="1689"/>
        <w:gridCol w:w="732"/>
        <w:gridCol w:w="732"/>
        <w:gridCol w:w="14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sz w:val="18"/>
                <w:szCs w:val="18"/>
                <w:u w:val="none"/>
              </w:rPr>
            </w:pPr>
            <w:r>
              <w:rPr>
                <w:rStyle w:val="21"/>
                <w:rFonts w:hint="eastAsia" w:asciiTheme="majorEastAsia" w:hAnsiTheme="majorEastAsia" w:eastAsiaTheme="majorEastAsia" w:cstheme="majorEastAsia"/>
                <w:sz w:val="18"/>
                <w:szCs w:val="18"/>
                <w:lang w:val="en-US" w:eastAsia="zh-CN" w:bidi="ar"/>
              </w:rPr>
              <w:t>项目</w:t>
            </w:r>
            <w:r>
              <w:rPr>
                <w:rStyle w:val="22"/>
                <w:rFonts w:hint="eastAsia" w:asciiTheme="majorEastAsia" w:hAnsiTheme="majorEastAsia" w:eastAsiaTheme="majorEastAsia" w:cstheme="majorEastAsia"/>
                <w:sz w:val="18"/>
                <w:szCs w:val="18"/>
                <w:lang w:val="en-US" w:eastAsia="zh-CN" w:bidi="ar"/>
              </w:rPr>
              <w:t>支出</w:t>
            </w:r>
            <w:r>
              <w:rPr>
                <w:rStyle w:val="21"/>
                <w:rFonts w:hint="eastAsia" w:asciiTheme="majorEastAsia" w:hAnsiTheme="majorEastAsia" w:eastAsiaTheme="majorEastAsia" w:cstheme="majorEastAsia"/>
                <w:sz w:val="18"/>
                <w:szCs w:val="18"/>
                <w:lang w:val="en-US" w:eastAsia="zh-CN" w:bidi="ar"/>
              </w:rPr>
              <w:br w:type="textWrapping"/>
            </w:r>
            <w:r>
              <w:rPr>
                <w:rStyle w:val="22"/>
                <w:rFonts w:hint="eastAsia" w:asciiTheme="majorEastAsia" w:hAnsiTheme="majorEastAsia" w:eastAsiaTheme="majorEastAsia" w:cstheme="majorEastAsia"/>
                <w:sz w:val="18"/>
                <w:szCs w:val="18"/>
                <w:lang w:val="en-US" w:eastAsia="zh-CN" w:bidi="ar"/>
              </w:rPr>
              <w:t>名称</w:t>
            </w:r>
          </w:p>
        </w:tc>
        <w:tc>
          <w:tcPr>
            <w:tcW w:w="8238" w:type="dxa"/>
            <w:gridSpan w:val="8"/>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Theme="majorEastAsia" w:hAnsiTheme="majorEastAsia" w:eastAsiaTheme="majorEastAsia" w:cstheme="majorEastAsia"/>
                <w:b/>
                <w:i w:val="0"/>
                <w:color w:val="000000"/>
                <w:sz w:val="18"/>
                <w:szCs w:val="18"/>
                <w:u w:val="none"/>
                <w:lang w:eastAsia="zh-CN"/>
              </w:rPr>
            </w:pPr>
            <w:r>
              <w:rPr>
                <w:rFonts w:hint="eastAsia" w:asciiTheme="majorEastAsia" w:hAnsiTheme="majorEastAsia" w:eastAsiaTheme="majorEastAsia" w:cstheme="majorEastAsia"/>
                <w:b/>
                <w:i w:val="0"/>
                <w:color w:val="000000"/>
                <w:sz w:val="18"/>
                <w:szCs w:val="18"/>
                <w:u w:val="none"/>
                <w:lang w:val="en-US" w:eastAsia="zh-CN"/>
              </w:rPr>
              <w:t xml:space="preserve">                    商</w:t>
            </w:r>
            <w:r>
              <w:rPr>
                <w:rFonts w:hint="eastAsia" w:asciiTheme="majorEastAsia" w:hAnsiTheme="majorEastAsia" w:eastAsiaTheme="majorEastAsia" w:cstheme="majorEastAsia"/>
                <w:b/>
                <w:i w:val="0"/>
                <w:color w:val="000000"/>
                <w:sz w:val="18"/>
                <w:szCs w:val="18"/>
                <w:u w:val="none"/>
                <w:lang w:eastAsia="zh-CN"/>
              </w:rPr>
              <w:t>贸物流产业发展专项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c>
          <w:tcPr>
            <w:tcW w:w="8238" w:type="dxa"/>
            <w:gridSpan w:val="8"/>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4"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sz w:val="18"/>
                <w:szCs w:val="18"/>
                <w:u w:val="none"/>
              </w:rPr>
            </w:pPr>
            <w:r>
              <w:rPr>
                <w:rStyle w:val="21"/>
                <w:rFonts w:hint="eastAsia" w:asciiTheme="majorEastAsia" w:hAnsiTheme="majorEastAsia" w:eastAsiaTheme="majorEastAsia" w:cstheme="majorEastAsia"/>
                <w:sz w:val="18"/>
                <w:szCs w:val="18"/>
                <w:lang w:val="en-US" w:eastAsia="zh-CN" w:bidi="ar"/>
              </w:rPr>
              <w:t>主管部</w:t>
            </w:r>
            <w:r>
              <w:rPr>
                <w:rStyle w:val="22"/>
                <w:rFonts w:hint="eastAsia" w:asciiTheme="majorEastAsia" w:hAnsiTheme="majorEastAsia" w:eastAsiaTheme="majorEastAsia" w:cstheme="majorEastAsia"/>
                <w:sz w:val="18"/>
                <w:szCs w:val="18"/>
                <w:lang w:val="en-US" w:eastAsia="zh-CN" w:bidi="ar"/>
              </w:rPr>
              <w:t>门</w:t>
            </w:r>
          </w:p>
        </w:tc>
        <w:tc>
          <w:tcPr>
            <w:tcW w:w="367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州商务局</w:t>
            </w: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sz w:val="18"/>
                <w:szCs w:val="18"/>
                <w:u w:val="none"/>
              </w:rPr>
            </w:pPr>
            <w:r>
              <w:rPr>
                <w:rStyle w:val="23"/>
                <w:rFonts w:hint="eastAsia" w:asciiTheme="majorEastAsia" w:hAnsiTheme="majorEastAsia" w:eastAsiaTheme="majorEastAsia" w:cstheme="majorEastAsia"/>
                <w:sz w:val="18"/>
                <w:szCs w:val="18"/>
                <w:lang w:val="en-US" w:eastAsia="zh-CN" w:bidi="ar"/>
              </w:rPr>
              <w:t>实施单</w:t>
            </w:r>
            <w:r>
              <w:rPr>
                <w:rStyle w:val="24"/>
                <w:rFonts w:hint="eastAsia" w:asciiTheme="majorEastAsia" w:hAnsiTheme="majorEastAsia" w:eastAsiaTheme="majorEastAsia" w:cstheme="majorEastAsia"/>
                <w:sz w:val="18"/>
                <w:szCs w:val="18"/>
                <w:lang w:val="en-US" w:eastAsia="zh-CN" w:bidi="ar"/>
              </w:rPr>
              <w:t>位</w:t>
            </w:r>
          </w:p>
        </w:tc>
        <w:tc>
          <w:tcPr>
            <w:tcW w:w="287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州商务局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trPr>
        <w:tc>
          <w:tcPr>
            <w:tcW w:w="7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项目资金（万元）</w:t>
            </w:r>
          </w:p>
        </w:tc>
        <w:tc>
          <w:tcPr>
            <w:tcW w:w="144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Theme="majorEastAsia" w:hAnsiTheme="majorEastAsia" w:eastAsiaTheme="majorEastAsia" w:cstheme="majorEastAsia"/>
                <w:i w:val="0"/>
                <w:color w:val="000000"/>
                <w:sz w:val="18"/>
                <w:szCs w:val="18"/>
                <w:u w:val="none"/>
              </w:rPr>
            </w:pP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sz w:val="18"/>
                <w:szCs w:val="18"/>
                <w:u w:val="none"/>
              </w:rPr>
            </w:pPr>
            <w:r>
              <w:rPr>
                <w:rStyle w:val="23"/>
                <w:rFonts w:hint="eastAsia" w:asciiTheme="majorEastAsia" w:hAnsiTheme="majorEastAsia" w:eastAsiaTheme="majorEastAsia" w:cstheme="majorEastAsia"/>
                <w:sz w:val="18"/>
                <w:szCs w:val="18"/>
                <w:lang w:val="en-US" w:eastAsia="zh-CN" w:bidi="ar"/>
              </w:rPr>
              <w:t>年</w:t>
            </w:r>
            <w:r>
              <w:rPr>
                <w:rStyle w:val="24"/>
                <w:rFonts w:hint="eastAsia" w:asciiTheme="majorEastAsia" w:hAnsiTheme="majorEastAsia" w:eastAsiaTheme="majorEastAsia" w:cstheme="majorEastAsia"/>
                <w:sz w:val="18"/>
                <w:szCs w:val="18"/>
                <w:lang w:val="en-US" w:eastAsia="zh-CN" w:bidi="ar"/>
              </w:rPr>
              <w:t>初</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sz w:val="18"/>
                <w:szCs w:val="18"/>
                <w:u w:val="none"/>
              </w:rPr>
            </w:pPr>
            <w:r>
              <w:rPr>
                <w:rStyle w:val="23"/>
                <w:rFonts w:hint="eastAsia" w:asciiTheme="majorEastAsia" w:hAnsiTheme="majorEastAsia" w:eastAsiaTheme="majorEastAsia" w:cstheme="majorEastAsia"/>
                <w:sz w:val="18"/>
                <w:szCs w:val="18"/>
                <w:lang w:val="en-US" w:eastAsia="zh-CN" w:bidi="ar"/>
              </w:rPr>
              <w:t>全</w:t>
            </w:r>
            <w:r>
              <w:rPr>
                <w:rStyle w:val="24"/>
                <w:rFonts w:hint="eastAsia" w:asciiTheme="majorEastAsia" w:hAnsiTheme="majorEastAsia" w:eastAsiaTheme="majorEastAsia" w:cstheme="majorEastAsia"/>
                <w:sz w:val="18"/>
                <w:szCs w:val="18"/>
                <w:lang w:val="en-US" w:eastAsia="zh-CN" w:bidi="ar"/>
              </w:rPr>
              <w:t>年</w:t>
            </w: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sz w:val="18"/>
                <w:szCs w:val="18"/>
                <w:u w:val="none"/>
              </w:rPr>
            </w:pPr>
            <w:r>
              <w:rPr>
                <w:rStyle w:val="25"/>
                <w:rFonts w:hint="eastAsia" w:asciiTheme="majorEastAsia" w:hAnsiTheme="majorEastAsia" w:eastAsiaTheme="majorEastAsia" w:cstheme="majorEastAsia"/>
                <w:sz w:val="18"/>
                <w:szCs w:val="18"/>
                <w:lang w:val="en-US" w:eastAsia="zh-CN" w:bidi="ar"/>
              </w:rPr>
              <w:t>全</w:t>
            </w:r>
            <w:r>
              <w:rPr>
                <w:rStyle w:val="26"/>
                <w:rFonts w:hint="eastAsia" w:asciiTheme="majorEastAsia" w:hAnsiTheme="majorEastAsia" w:eastAsiaTheme="majorEastAsia" w:cstheme="majorEastAsia"/>
                <w:sz w:val="18"/>
                <w:szCs w:val="18"/>
                <w:lang w:val="en-US" w:eastAsia="zh-CN" w:bidi="ar"/>
              </w:rPr>
              <w:t>年</w:t>
            </w:r>
          </w:p>
        </w:tc>
        <w:tc>
          <w:tcPr>
            <w:tcW w:w="7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sz w:val="18"/>
                <w:szCs w:val="18"/>
                <w:u w:val="none"/>
              </w:rPr>
            </w:pPr>
            <w:r>
              <w:rPr>
                <w:rStyle w:val="25"/>
                <w:rFonts w:hint="eastAsia" w:asciiTheme="majorEastAsia" w:hAnsiTheme="majorEastAsia" w:eastAsiaTheme="majorEastAsia" w:cstheme="majorEastAsia"/>
                <w:sz w:val="18"/>
                <w:szCs w:val="18"/>
                <w:lang w:val="en-US" w:eastAsia="zh-CN" w:bidi="ar"/>
              </w:rPr>
              <w:t>分</w:t>
            </w:r>
            <w:r>
              <w:rPr>
                <w:rStyle w:val="26"/>
                <w:rFonts w:hint="eastAsia" w:asciiTheme="majorEastAsia" w:hAnsiTheme="majorEastAsia" w:eastAsiaTheme="majorEastAsia" w:cstheme="majorEastAsia"/>
                <w:sz w:val="18"/>
                <w:szCs w:val="18"/>
                <w:lang w:val="en-US" w:eastAsia="zh-CN" w:bidi="ar"/>
              </w:rPr>
              <w:t>值</w:t>
            </w:r>
          </w:p>
        </w:tc>
        <w:tc>
          <w:tcPr>
            <w:tcW w:w="7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sz w:val="18"/>
                <w:szCs w:val="18"/>
                <w:u w:val="none"/>
              </w:rPr>
            </w:pPr>
            <w:r>
              <w:rPr>
                <w:rStyle w:val="25"/>
                <w:rFonts w:hint="eastAsia" w:asciiTheme="majorEastAsia" w:hAnsiTheme="majorEastAsia" w:eastAsiaTheme="majorEastAsia" w:cstheme="majorEastAsia"/>
                <w:sz w:val="18"/>
                <w:szCs w:val="18"/>
                <w:lang w:val="en-US" w:eastAsia="zh-CN" w:bidi="ar"/>
              </w:rPr>
              <w:t>执行</w:t>
            </w:r>
            <w:r>
              <w:rPr>
                <w:rStyle w:val="26"/>
                <w:rFonts w:hint="eastAsia" w:asciiTheme="majorEastAsia" w:hAnsiTheme="majorEastAsia" w:eastAsiaTheme="majorEastAsia" w:cstheme="majorEastAsia"/>
                <w:sz w:val="18"/>
                <w:szCs w:val="18"/>
                <w:lang w:val="en-US" w:eastAsia="zh-CN" w:bidi="ar"/>
              </w:rPr>
              <w:t>率</w:t>
            </w:r>
          </w:p>
        </w:tc>
        <w:tc>
          <w:tcPr>
            <w:tcW w:w="14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sz w:val="18"/>
                <w:szCs w:val="18"/>
                <w:u w:val="none"/>
              </w:rPr>
            </w:pPr>
            <w:r>
              <w:rPr>
                <w:rStyle w:val="25"/>
                <w:rFonts w:hint="eastAsia" w:asciiTheme="majorEastAsia" w:hAnsiTheme="majorEastAsia" w:eastAsiaTheme="majorEastAsia" w:cstheme="majorEastAsia"/>
                <w:sz w:val="18"/>
                <w:szCs w:val="18"/>
                <w:lang w:val="en-US" w:eastAsia="zh-CN" w:bidi="ar"/>
              </w:rPr>
              <w:t>得</w:t>
            </w:r>
            <w:r>
              <w:rPr>
                <w:rStyle w:val="26"/>
                <w:rFonts w:hint="eastAsia" w:asciiTheme="majorEastAsia" w:hAnsiTheme="majorEastAsia" w:eastAsiaTheme="majorEastAsia" w:cstheme="majorEastAsia"/>
                <w:sz w:val="18"/>
                <w:szCs w:val="18"/>
                <w:lang w:val="en-US" w:eastAsia="zh-CN" w:bidi="ar"/>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trPr>
        <w:tc>
          <w:tcPr>
            <w:tcW w:w="7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c>
          <w:tcPr>
            <w:tcW w:w="144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Theme="majorEastAsia" w:hAnsiTheme="majorEastAsia" w:eastAsiaTheme="majorEastAsia" w:cstheme="majorEastAsia"/>
                <w:i w:val="0"/>
                <w:color w:val="000000"/>
                <w:sz w:val="18"/>
                <w:szCs w:val="18"/>
                <w:u w:val="none"/>
              </w:rPr>
            </w:pP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sz w:val="18"/>
                <w:szCs w:val="18"/>
                <w:u w:val="none"/>
              </w:rPr>
            </w:pPr>
            <w:r>
              <w:rPr>
                <w:rStyle w:val="23"/>
                <w:rFonts w:hint="eastAsia" w:asciiTheme="majorEastAsia" w:hAnsiTheme="majorEastAsia" w:eastAsiaTheme="majorEastAsia" w:cstheme="majorEastAsia"/>
                <w:sz w:val="18"/>
                <w:szCs w:val="18"/>
                <w:lang w:val="en-US" w:eastAsia="zh-CN" w:bidi="ar"/>
              </w:rPr>
              <w:t>预算</w:t>
            </w:r>
            <w:r>
              <w:rPr>
                <w:rStyle w:val="24"/>
                <w:rFonts w:hint="eastAsia" w:asciiTheme="majorEastAsia" w:hAnsiTheme="majorEastAsia" w:eastAsiaTheme="majorEastAsia" w:cstheme="majorEastAsia"/>
                <w:sz w:val="18"/>
                <w:szCs w:val="18"/>
                <w:lang w:val="en-US" w:eastAsia="zh-CN" w:bidi="ar"/>
              </w:rPr>
              <w:t>数</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sz w:val="18"/>
                <w:szCs w:val="18"/>
                <w:u w:val="none"/>
              </w:rPr>
            </w:pPr>
            <w:r>
              <w:rPr>
                <w:rStyle w:val="23"/>
                <w:rFonts w:hint="eastAsia" w:asciiTheme="majorEastAsia" w:hAnsiTheme="majorEastAsia" w:eastAsiaTheme="majorEastAsia" w:cstheme="majorEastAsia"/>
                <w:sz w:val="18"/>
                <w:szCs w:val="18"/>
                <w:lang w:val="en-US" w:eastAsia="zh-CN" w:bidi="ar"/>
              </w:rPr>
              <w:t>预算</w:t>
            </w:r>
            <w:r>
              <w:rPr>
                <w:rStyle w:val="24"/>
                <w:rFonts w:hint="eastAsia" w:asciiTheme="majorEastAsia" w:hAnsiTheme="majorEastAsia" w:eastAsiaTheme="majorEastAsia" w:cstheme="majorEastAsia"/>
                <w:sz w:val="18"/>
                <w:szCs w:val="18"/>
                <w:lang w:val="en-US" w:eastAsia="zh-CN" w:bidi="ar"/>
              </w:rPr>
              <w:t>数</w:t>
            </w: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sz w:val="18"/>
                <w:szCs w:val="18"/>
                <w:u w:val="none"/>
              </w:rPr>
            </w:pPr>
            <w:r>
              <w:rPr>
                <w:rStyle w:val="25"/>
                <w:rFonts w:hint="eastAsia" w:asciiTheme="majorEastAsia" w:hAnsiTheme="majorEastAsia" w:eastAsiaTheme="majorEastAsia" w:cstheme="majorEastAsia"/>
                <w:sz w:val="18"/>
                <w:szCs w:val="18"/>
                <w:lang w:val="en-US" w:eastAsia="zh-CN" w:bidi="ar"/>
              </w:rPr>
              <w:t>执行</w:t>
            </w:r>
            <w:r>
              <w:rPr>
                <w:rStyle w:val="26"/>
                <w:rFonts w:hint="eastAsia" w:asciiTheme="majorEastAsia" w:hAnsiTheme="majorEastAsia" w:eastAsiaTheme="majorEastAsia" w:cstheme="majorEastAsia"/>
                <w:sz w:val="18"/>
                <w:szCs w:val="18"/>
                <w:lang w:val="en-US" w:eastAsia="zh-CN" w:bidi="ar"/>
              </w:rPr>
              <w:t>数</w:t>
            </w:r>
          </w:p>
        </w:tc>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c>
          <w:tcPr>
            <w:tcW w:w="14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trPr>
        <w:tc>
          <w:tcPr>
            <w:tcW w:w="7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年度资金总额</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sz w:val="18"/>
                <w:szCs w:val="18"/>
                <w:u w:val="none"/>
                <w:lang w:val="en-US" w:eastAsia="zh-CN"/>
              </w:rPr>
            </w:pPr>
            <w:r>
              <w:rPr>
                <w:rFonts w:hint="eastAsia" w:asciiTheme="majorEastAsia" w:hAnsiTheme="majorEastAsia" w:eastAsiaTheme="majorEastAsia" w:cstheme="majorEastAsia"/>
                <w:i w:val="0"/>
                <w:color w:val="000000"/>
                <w:sz w:val="18"/>
                <w:szCs w:val="18"/>
                <w:u w:val="none"/>
                <w:lang w:val="en-US" w:eastAsia="zh-CN"/>
              </w:rPr>
              <w:t>359</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sz w:val="18"/>
                <w:szCs w:val="18"/>
                <w:u w:val="none"/>
                <w:lang w:val="en-US" w:eastAsia="zh-CN"/>
              </w:rPr>
            </w:pPr>
            <w:r>
              <w:rPr>
                <w:rFonts w:hint="eastAsia" w:asciiTheme="majorEastAsia" w:hAnsiTheme="majorEastAsia" w:eastAsiaTheme="majorEastAsia" w:cstheme="majorEastAsia"/>
                <w:i w:val="0"/>
                <w:color w:val="000000"/>
                <w:sz w:val="18"/>
                <w:szCs w:val="18"/>
                <w:u w:val="none"/>
                <w:lang w:val="en-US" w:eastAsia="zh-CN"/>
              </w:rPr>
              <w:t>1606.06</w:t>
            </w: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sz w:val="18"/>
                <w:szCs w:val="18"/>
                <w:u w:val="none"/>
                <w:lang w:val="en-US"/>
              </w:rPr>
            </w:pPr>
            <w:r>
              <w:rPr>
                <w:rFonts w:hint="eastAsia" w:asciiTheme="majorEastAsia" w:hAnsiTheme="majorEastAsia" w:eastAsiaTheme="majorEastAsia" w:cstheme="majorEastAsia"/>
                <w:i w:val="0"/>
                <w:color w:val="000000"/>
                <w:kern w:val="0"/>
                <w:sz w:val="18"/>
                <w:szCs w:val="18"/>
                <w:u w:val="none"/>
                <w:lang w:val="en-US" w:eastAsia="zh-CN" w:bidi="ar"/>
              </w:rPr>
              <w:t>1606.06</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10</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100%</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trPr>
        <w:tc>
          <w:tcPr>
            <w:tcW w:w="7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其中：当年财政拨款</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sz w:val="18"/>
                <w:szCs w:val="18"/>
                <w:u w:val="none"/>
                <w:lang w:val="en-US"/>
              </w:rPr>
            </w:pPr>
            <w:r>
              <w:rPr>
                <w:rFonts w:hint="eastAsia" w:asciiTheme="majorEastAsia" w:hAnsiTheme="majorEastAsia" w:eastAsiaTheme="majorEastAsia" w:cstheme="majorEastAsia"/>
                <w:i w:val="0"/>
                <w:color w:val="000000"/>
                <w:kern w:val="0"/>
                <w:sz w:val="18"/>
                <w:szCs w:val="18"/>
                <w:u w:val="none"/>
                <w:lang w:val="en-US" w:eastAsia="zh-CN" w:bidi="ar"/>
              </w:rPr>
              <w:t>359</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sz w:val="18"/>
                <w:szCs w:val="18"/>
                <w:u w:val="none"/>
                <w:lang w:val="en-US" w:eastAsia="zh-CN"/>
              </w:rPr>
            </w:pPr>
            <w:r>
              <w:rPr>
                <w:rFonts w:hint="eastAsia" w:asciiTheme="majorEastAsia" w:hAnsiTheme="majorEastAsia" w:eastAsiaTheme="majorEastAsia" w:cstheme="majorEastAsia"/>
                <w:i w:val="0"/>
                <w:color w:val="000000"/>
                <w:sz w:val="18"/>
                <w:szCs w:val="18"/>
                <w:u w:val="none"/>
                <w:lang w:val="en-US" w:eastAsia="zh-CN"/>
              </w:rPr>
              <w:t>1606.06</w:t>
            </w: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sz w:val="18"/>
                <w:szCs w:val="18"/>
                <w:u w:val="none"/>
                <w:lang w:val="en-US" w:eastAsia="zh-CN"/>
              </w:rPr>
            </w:pPr>
            <w:r>
              <w:rPr>
                <w:rFonts w:hint="eastAsia" w:asciiTheme="majorEastAsia" w:hAnsiTheme="majorEastAsia" w:eastAsiaTheme="majorEastAsia" w:cstheme="majorEastAsia"/>
                <w:i w:val="0"/>
                <w:color w:val="000000"/>
                <w:sz w:val="18"/>
                <w:szCs w:val="18"/>
                <w:u w:val="none"/>
                <w:lang w:val="en-US" w:eastAsia="zh-CN"/>
              </w:rPr>
              <w:t>1606.06</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8" w:hRule="atLeast"/>
        </w:trPr>
        <w:tc>
          <w:tcPr>
            <w:tcW w:w="7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上年结转资金</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trPr>
        <w:tc>
          <w:tcPr>
            <w:tcW w:w="7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color w:val="000000"/>
                <w:sz w:val="18"/>
                <w:szCs w:val="18"/>
                <w:u w:val="none"/>
              </w:rPr>
            </w:pPr>
            <w:r>
              <w:rPr>
                <w:rStyle w:val="23"/>
                <w:rFonts w:hint="eastAsia" w:asciiTheme="majorEastAsia" w:hAnsiTheme="majorEastAsia" w:eastAsiaTheme="majorEastAsia" w:cstheme="majorEastAsia"/>
                <w:sz w:val="18"/>
                <w:szCs w:val="18"/>
                <w:lang w:val="en-US" w:eastAsia="zh-CN" w:bidi="ar"/>
              </w:rPr>
              <w:t>其他资</w:t>
            </w:r>
            <w:r>
              <w:rPr>
                <w:rStyle w:val="24"/>
                <w:rFonts w:hint="eastAsia" w:asciiTheme="majorEastAsia" w:hAnsiTheme="majorEastAsia" w:eastAsiaTheme="majorEastAsia" w:cstheme="majorEastAsia"/>
                <w:sz w:val="18"/>
                <w:szCs w:val="18"/>
                <w:lang w:val="en-US" w:eastAsia="zh-CN" w:bidi="ar"/>
              </w:rPr>
              <w:t>金</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trPr>
        <w:tc>
          <w:tcPr>
            <w:tcW w:w="7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sz w:val="18"/>
                <w:szCs w:val="18"/>
                <w:u w:val="none"/>
              </w:rPr>
            </w:pPr>
            <w:r>
              <w:rPr>
                <w:rStyle w:val="27"/>
                <w:rFonts w:hint="eastAsia" w:asciiTheme="majorEastAsia" w:hAnsiTheme="majorEastAsia" w:eastAsiaTheme="majorEastAsia" w:cstheme="majorEastAsia"/>
                <w:sz w:val="18"/>
                <w:szCs w:val="18"/>
                <w:lang w:val="en-US" w:eastAsia="zh-CN" w:bidi="ar"/>
              </w:rPr>
              <w:t>年度总体目</w:t>
            </w:r>
            <w:r>
              <w:rPr>
                <w:rStyle w:val="28"/>
                <w:rFonts w:hint="eastAsia" w:asciiTheme="majorEastAsia" w:hAnsiTheme="majorEastAsia" w:eastAsiaTheme="majorEastAsia" w:cstheme="majorEastAsia"/>
                <w:sz w:val="18"/>
                <w:szCs w:val="18"/>
                <w:lang w:val="en-US" w:eastAsia="zh-CN" w:bidi="ar"/>
              </w:rPr>
              <w:t>标</w:t>
            </w:r>
          </w:p>
        </w:tc>
        <w:tc>
          <w:tcPr>
            <w:tcW w:w="367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i w:val="0"/>
                <w:color w:val="000000"/>
                <w:sz w:val="18"/>
                <w:szCs w:val="18"/>
                <w:u w:val="none"/>
              </w:rPr>
            </w:pPr>
            <w:r>
              <w:rPr>
                <w:rStyle w:val="29"/>
                <w:rFonts w:hint="eastAsia" w:asciiTheme="majorEastAsia" w:hAnsiTheme="majorEastAsia" w:eastAsiaTheme="majorEastAsia" w:cstheme="majorEastAsia"/>
                <w:sz w:val="18"/>
                <w:szCs w:val="18"/>
                <w:lang w:val="en-US" w:eastAsia="zh-CN" w:bidi="ar"/>
              </w:rPr>
              <w:t>预期目</w:t>
            </w:r>
            <w:r>
              <w:rPr>
                <w:rStyle w:val="30"/>
                <w:rFonts w:hint="eastAsia" w:asciiTheme="majorEastAsia" w:hAnsiTheme="majorEastAsia" w:eastAsiaTheme="majorEastAsia" w:cstheme="majorEastAsia"/>
                <w:sz w:val="18"/>
                <w:szCs w:val="18"/>
                <w:lang w:val="en-US" w:eastAsia="zh-CN" w:bidi="ar"/>
              </w:rPr>
              <w:t>标</w:t>
            </w:r>
          </w:p>
        </w:tc>
        <w:tc>
          <w:tcPr>
            <w:tcW w:w="456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b/>
                <w:i w:val="0"/>
                <w:color w:val="000000"/>
                <w:sz w:val="18"/>
                <w:szCs w:val="18"/>
                <w:u w:val="none"/>
              </w:rPr>
            </w:pPr>
            <w:r>
              <w:rPr>
                <w:rFonts w:hint="eastAsia" w:asciiTheme="majorEastAsia" w:hAnsiTheme="majorEastAsia" w:eastAsiaTheme="majorEastAsia" w:cstheme="majorEastAsia"/>
                <w:b/>
                <w:i w:val="0"/>
                <w:color w:val="000000"/>
                <w:kern w:val="0"/>
                <w:sz w:val="18"/>
                <w:szCs w:val="18"/>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76" w:hRule="atLeast"/>
        </w:trPr>
        <w:tc>
          <w:tcPr>
            <w:tcW w:w="7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c>
          <w:tcPr>
            <w:tcW w:w="367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搞活内贸流通，促进消费，重点培育限上商贸流通企业，加快电子商务发展。</w:t>
            </w:r>
            <w:r>
              <w:rPr>
                <w:rFonts w:hint="eastAsia" w:asciiTheme="majorEastAsia" w:hAnsiTheme="majorEastAsia" w:eastAsiaTheme="majorEastAsia" w:cstheme="majorEastAsia"/>
                <w:color w:val="000000"/>
                <w:kern w:val="0"/>
                <w:sz w:val="18"/>
                <w:szCs w:val="18"/>
                <w:lang w:val="en-US" w:eastAsia="zh-CN" w:bidi="ar"/>
              </w:rPr>
              <w:t>全州实现社会消费品零售总额306.14亿元，电子商务交易额140亿元，完成40个乡村振兴农村电商示范站建设</w:t>
            </w:r>
          </w:p>
        </w:tc>
        <w:tc>
          <w:tcPr>
            <w:tcW w:w="456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sz w:val="18"/>
                <w:szCs w:val="18"/>
                <w:u w:val="none"/>
                <w:lang w:val="en-US"/>
              </w:rPr>
            </w:pPr>
            <w:r>
              <w:rPr>
                <w:rFonts w:hint="eastAsia" w:asciiTheme="majorEastAsia" w:hAnsiTheme="majorEastAsia" w:eastAsiaTheme="majorEastAsia" w:cstheme="majorEastAsia"/>
                <w:i w:val="0"/>
                <w:color w:val="000000"/>
                <w:kern w:val="0"/>
                <w:sz w:val="18"/>
                <w:szCs w:val="18"/>
                <w:u w:val="none"/>
                <w:lang w:val="en-US" w:eastAsia="zh-CN" w:bidi="ar"/>
              </w:rPr>
              <w:t>聚焦“政策红利”“制度红利”释放主动作为，激活消费市场，消费回暖加速，消费质量加快提升、规模不断扩大。全州</w:t>
            </w:r>
            <w:r>
              <w:rPr>
                <w:rFonts w:hint="eastAsia" w:asciiTheme="majorEastAsia" w:hAnsiTheme="majorEastAsia" w:eastAsiaTheme="majorEastAsia" w:cstheme="majorEastAsia"/>
                <w:color w:val="000000"/>
                <w:kern w:val="0"/>
                <w:sz w:val="18"/>
                <w:szCs w:val="18"/>
                <w:lang w:val="en-US" w:eastAsia="zh-CN" w:bidi="ar"/>
              </w:rPr>
              <w:t>全州实现社会消费品零售总额284.28亿元，电子商务交易额160.73亿元,全州40个乡村振兴农村电商示范站已全部建设完成。2022年获得省政府真抓实</w:t>
            </w:r>
            <w:r>
              <w:rPr>
                <w:rFonts w:hint="eastAsia" w:asciiTheme="majorEastAsia" w:hAnsiTheme="majorEastAsia" w:eastAsiaTheme="majorEastAsia" w:cstheme="majorEastAsia"/>
                <w:i w:val="0"/>
                <w:color w:val="000000"/>
                <w:kern w:val="0"/>
                <w:sz w:val="18"/>
                <w:szCs w:val="18"/>
                <w:u w:val="none"/>
                <w:lang w:val="en-US" w:eastAsia="zh-CN" w:bidi="ar"/>
              </w:rPr>
              <w:t>干全面促进消费奖励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绩</w:t>
            </w:r>
            <w:r>
              <w:rPr>
                <w:rFonts w:hint="eastAsia" w:asciiTheme="majorEastAsia" w:hAnsiTheme="majorEastAsia" w:eastAsiaTheme="majorEastAsia" w:cstheme="majorEastAsia"/>
                <w:i w:val="0"/>
                <w:color w:val="000000"/>
                <w:kern w:val="0"/>
                <w:sz w:val="18"/>
                <w:szCs w:val="18"/>
                <w:u w:val="none"/>
                <w:lang w:val="en-US" w:eastAsia="zh-CN" w:bidi="ar"/>
              </w:rPr>
              <w:br w:type="textWrapping"/>
            </w:r>
            <w:r>
              <w:rPr>
                <w:rFonts w:hint="eastAsia" w:asciiTheme="majorEastAsia" w:hAnsiTheme="majorEastAsia" w:eastAsiaTheme="majorEastAsia" w:cstheme="majorEastAsia"/>
                <w:i w:val="0"/>
                <w:color w:val="000000"/>
                <w:kern w:val="0"/>
                <w:sz w:val="18"/>
                <w:szCs w:val="18"/>
                <w:u w:val="none"/>
                <w:lang w:val="en-US" w:eastAsia="zh-CN" w:bidi="ar"/>
              </w:rPr>
              <w:t>效</w:t>
            </w:r>
            <w:r>
              <w:rPr>
                <w:rFonts w:hint="eastAsia" w:asciiTheme="majorEastAsia" w:hAnsiTheme="majorEastAsia" w:eastAsiaTheme="majorEastAsia" w:cstheme="majorEastAsia"/>
                <w:i w:val="0"/>
                <w:color w:val="000000"/>
                <w:kern w:val="0"/>
                <w:sz w:val="18"/>
                <w:szCs w:val="18"/>
                <w:u w:val="none"/>
                <w:lang w:val="en-US" w:eastAsia="zh-CN" w:bidi="ar"/>
              </w:rPr>
              <w:br w:type="textWrapping"/>
            </w:r>
            <w:r>
              <w:rPr>
                <w:rFonts w:hint="eastAsia" w:asciiTheme="majorEastAsia" w:hAnsiTheme="majorEastAsia" w:eastAsiaTheme="majorEastAsia" w:cstheme="majorEastAsia"/>
                <w:i w:val="0"/>
                <w:color w:val="000000"/>
                <w:kern w:val="0"/>
                <w:sz w:val="18"/>
                <w:szCs w:val="18"/>
                <w:u w:val="none"/>
                <w:lang w:val="en-US" w:eastAsia="zh-CN" w:bidi="ar"/>
              </w:rPr>
              <w:t>指</w:t>
            </w:r>
            <w:r>
              <w:rPr>
                <w:rFonts w:hint="eastAsia" w:asciiTheme="majorEastAsia" w:hAnsiTheme="majorEastAsia" w:eastAsiaTheme="majorEastAsia" w:cstheme="majorEastAsia"/>
                <w:i w:val="0"/>
                <w:color w:val="000000"/>
                <w:kern w:val="0"/>
                <w:sz w:val="18"/>
                <w:szCs w:val="18"/>
                <w:u w:val="none"/>
                <w:lang w:val="en-US" w:eastAsia="zh-CN" w:bidi="ar"/>
              </w:rPr>
              <w:br w:type="textWrapping"/>
            </w:r>
            <w:r>
              <w:rPr>
                <w:rFonts w:hint="eastAsia" w:asciiTheme="majorEastAsia" w:hAnsiTheme="majorEastAsia" w:eastAsiaTheme="majorEastAsia" w:cstheme="majorEastAsia"/>
                <w:i w:val="0"/>
                <w:color w:val="000000"/>
                <w:kern w:val="0"/>
                <w:sz w:val="18"/>
                <w:szCs w:val="18"/>
                <w:u w:val="none"/>
                <w:lang w:val="en-US" w:eastAsia="zh-CN" w:bidi="ar"/>
              </w:rPr>
              <w:t>标</w:t>
            </w:r>
          </w:p>
        </w:tc>
        <w:tc>
          <w:tcPr>
            <w:tcW w:w="7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sz w:val="18"/>
                <w:szCs w:val="18"/>
                <w:u w:val="none"/>
              </w:rPr>
            </w:pPr>
            <w:r>
              <w:rPr>
                <w:rStyle w:val="21"/>
                <w:rFonts w:hint="eastAsia" w:asciiTheme="majorEastAsia" w:hAnsiTheme="majorEastAsia" w:eastAsiaTheme="majorEastAsia" w:cstheme="majorEastAsia"/>
                <w:sz w:val="18"/>
                <w:szCs w:val="18"/>
                <w:lang w:val="en-US" w:eastAsia="zh-CN" w:bidi="ar"/>
              </w:rPr>
              <w:t>一级指</w:t>
            </w:r>
            <w:r>
              <w:rPr>
                <w:rStyle w:val="22"/>
                <w:rFonts w:hint="eastAsia" w:asciiTheme="majorEastAsia" w:hAnsiTheme="majorEastAsia" w:eastAsiaTheme="majorEastAsia" w:cstheme="majorEastAsia"/>
                <w:sz w:val="18"/>
                <w:szCs w:val="18"/>
                <w:lang w:val="en-US" w:eastAsia="zh-CN" w:bidi="ar"/>
              </w:rPr>
              <w:t>标</w:t>
            </w:r>
          </w:p>
        </w:tc>
        <w:tc>
          <w:tcPr>
            <w:tcW w:w="7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sz w:val="18"/>
                <w:szCs w:val="18"/>
                <w:u w:val="none"/>
              </w:rPr>
            </w:pPr>
            <w:r>
              <w:rPr>
                <w:rStyle w:val="21"/>
                <w:rFonts w:hint="eastAsia" w:asciiTheme="majorEastAsia" w:hAnsiTheme="majorEastAsia" w:eastAsiaTheme="majorEastAsia" w:cstheme="majorEastAsia"/>
                <w:sz w:val="18"/>
                <w:szCs w:val="18"/>
                <w:lang w:val="en-US" w:eastAsia="zh-CN" w:bidi="ar"/>
              </w:rPr>
              <w:t>二级指</w:t>
            </w:r>
            <w:r>
              <w:rPr>
                <w:rStyle w:val="22"/>
                <w:rFonts w:hint="eastAsia" w:asciiTheme="majorEastAsia" w:hAnsiTheme="majorEastAsia" w:eastAsiaTheme="majorEastAsia" w:cstheme="majorEastAsia"/>
                <w:sz w:val="18"/>
                <w:szCs w:val="18"/>
                <w:lang w:val="en-US" w:eastAsia="zh-CN" w:bidi="ar"/>
              </w:rPr>
              <w:t>标</w:t>
            </w:r>
          </w:p>
        </w:tc>
        <w:tc>
          <w:tcPr>
            <w:tcW w:w="12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sz w:val="18"/>
                <w:szCs w:val="18"/>
                <w:u w:val="none"/>
              </w:rPr>
            </w:pPr>
            <w:r>
              <w:rPr>
                <w:rStyle w:val="21"/>
                <w:rFonts w:hint="eastAsia" w:asciiTheme="majorEastAsia" w:hAnsiTheme="majorEastAsia" w:eastAsiaTheme="majorEastAsia" w:cstheme="majorEastAsia"/>
                <w:sz w:val="18"/>
                <w:szCs w:val="18"/>
                <w:lang w:val="en-US" w:eastAsia="zh-CN" w:bidi="ar"/>
              </w:rPr>
              <w:t>三级指</w:t>
            </w:r>
            <w:r>
              <w:rPr>
                <w:rStyle w:val="22"/>
                <w:rFonts w:hint="eastAsia" w:asciiTheme="majorEastAsia" w:hAnsiTheme="majorEastAsia" w:eastAsiaTheme="majorEastAsia" w:cstheme="majorEastAsia"/>
                <w:sz w:val="18"/>
                <w:szCs w:val="18"/>
                <w:lang w:val="en-US" w:eastAsia="zh-CN" w:bidi="ar"/>
              </w:rPr>
              <w:t>标</w:t>
            </w:r>
          </w:p>
        </w:tc>
        <w:tc>
          <w:tcPr>
            <w:tcW w:w="10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sz w:val="18"/>
                <w:szCs w:val="18"/>
                <w:u w:val="none"/>
              </w:rPr>
            </w:pPr>
            <w:r>
              <w:rPr>
                <w:rStyle w:val="21"/>
                <w:rFonts w:hint="eastAsia" w:asciiTheme="majorEastAsia" w:hAnsiTheme="majorEastAsia" w:eastAsiaTheme="majorEastAsia" w:cstheme="majorEastAsia"/>
                <w:sz w:val="18"/>
                <w:szCs w:val="18"/>
                <w:lang w:val="en-US" w:eastAsia="zh-CN" w:bidi="ar"/>
              </w:rPr>
              <w:t>年</w:t>
            </w:r>
            <w:r>
              <w:rPr>
                <w:rStyle w:val="22"/>
                <w:rFonts w:hint="eastAsia" w:asciiTheme="majorEastAsia" w:hAnsiTheme="majorEastAsia" w:eastAsiaTheme="majorEastAsia" w:cstheme="majorEastAsia"/>
                <w:sz w:val="18"/>
                <w:szCs w:val="18"/>
                <w:lang w:val="en-US" w:eastAsia="zh-CN" w:bidi="ar"/>
              </w:rPr>
              <w:t>度指标值</w:t>
            </w:r>
          </w:p>
        </w:tc>
        <w:tc>
          <w:tcPr>
            <w:tcW w:w="16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sz w:val="18"/>
                <w:szCs w:val="18"/>
                <w:u w:val="none"/>
              </w:rPr>
            </w:pPr>
            <w:r>
              <w:rPr>
                <w:rStyle w:val="21"/>
                <w:rFonts w:hint="eastAsia" w:asciiTheme="majorEastAsia" w:hAnsiTheme="majorEastAsia" w:eastAsiaTheme="majorEastAsia" w:cstheme="majorEastAsia"/>
                <w:sz w:val="18"/>
                <w:szCs w:val="18"/>
                <w:lang w:val="en-US" w:eastAsia="zh-CN" w:bidi="ar"/>
              </w:rPr>
              <w:t>实</w:t>
            </w:r>
            <w:r>
              <w:rPr>
                <w:rStyle w:val="22"/>
                <w:rFonts w:hint="eastAsia" w:asciiTheme="majorEastAsia" w:hAnsiTheme="majorEastAsia" w:eastAsiaTheme="majorEastAsia" w:cstheme="majorEastAsia"/>
                <w:sz w:val="18"/>
                <w:szCs w:val="18"/>
                <w:lang w:val="en-US" w:eastAsia="zh-CN" w:bidi="ar"/>
              </w:rPr>
              <w:t>际完成值</w:t>
            </w:r>
          </w:p>
        </w:tc>
        <w:tc>
          <w:tcPr>
            <w:tcW w:w="7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sz w:val="18"/>
                <w:szCs w:val="18"/>
                <w:u w:val="none"/>
              </w:rPr>
            </w:pPr>
            <w:r>
              <w:rPr>
                <w:rStyle w:val="21"/>
                <w:rFonts w:hint="eastAsia" w:asciiTheme="majorEastAsia" w:hAnsiTheme="majorEastAsia" w:eastAsiaTheme="majorEastAsia" w:cstheme="majorEastAsia"/>
                <w:sz w:val="18"/>
                <w:szCs w:val="18"/>
                <w:lang w:val="en-US" w:eastAsia="zh-CN" w:bidi="ar"/>
              </w:rPr>
              <w:t>分</w:t>
            </w:r>
            <w:r>
              <w:rPr>
                <w:rStyle w:val="22"/>
                <w:rFonts w:hint="eastAsia" w:asciiTheme="majorEastAsia" w:hAnsiTheme="majorEastAsia" w:eastAsiaTheme="majorEastAsia" w:cstheme="majorEastAsia"/>
                <w:sz w:val="18"/>
                <w:szCs w:val="18"/>
                <w:lang w:val="en-US" w:eastAsia="zh-CN" w:bidi="ar"/>
              </w:rPr>
              <w:t>值</w:t>
            </w:r>
          </w:p>
        </w:tc>
        <w:tc>
          <w:tcPr>
            <w:tcW w:w="7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sz w:val="18"/>
                <w:szCs w:val="18"/>
                <w:u w:val="none"/>
              </w:rPr>
            </w:pPr>
            <w:r>
              <w:rPr>
                <w:rStyle w:val="21"/>
                <w:rFonts w:hint="eastAsia" w:asciiTheme="majorEastAsia" w:hAnsiTheme="majorEastAsia" w:eastAsiaTheme="majorEastAsia" w:cstheme="majorEastAsia"/>
                <w:sz w:val="18"/>
                <w:szCs w:val="18"/>
                <w:lang w:val="en-US" w:eastAsia="zh-CN" w:bidi="ar"/>
              </w:rPr>
              <w:t>得</w:t>
            </w:r>
            <w:r>
              <w:rPr>
                <w:rStyle w:val="22"/>
                <w:rFonts w:hint="eastAsia" w:asciiTheme="majorEastAsia" w:hAnsiTheme="majorEastAsia" w:eastAsiaTheme="majorEastAsia" w:cstheme="majorEastAsia"/>
                <w:sz w:val="18"/>
                <w:szCs w:val="18"/>
                <w:lang w:val="en-US" w:eastAsia="zh-CN" w:bidi="ar"/>
              </w:rPr>
              <w:t>分</w:t>
            </w:r>
          </w:p>
        </w:tc>
        <w:tc>
          <w:tcPr>
            <w:tcW w:w="14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sz w:val="18"/>
                <w:szCs w:val="18"/>
                <w:u w:val="none"/>
              </w:rPr>
            </w:pPr>
            <w:r>
              <w:rPr>
                <w:rStyle w:val="21"/>
                <w:rFonts w:hint="eastAsia" w:asciiTheme="majorEastAsia" w:hAnsiTheme="majorEastAsia" w:eastAsiaTheme="majorEastAsia" w:cstheme="majorEastAsia"/>
                <w:sz w:val="18"/>
                <w:szCs w:val="18"/>
                <w:lang w:val="en-US" w:eastAsia="zh-CN" w:bidi="ar"/>
              </w:rPr>
              <w:t>偏差原</w:t>
            </w:r>
            <w:r>
              <w:rPr>
                <w:rStyle w:val="22"/>
                <w:rFonts w:hint="eastAsia" w:asciiTheme="majorEastAsia" w:hAnsiTheme="majorEastAsia" w:eastAsiaTheme="majorEastAsia" w:cstheme="majorEastAsia"/>
                <w:sz w:val="18"/>
                <w:szCs w:val="18"/>
                <w:lang w:val="en-US" w:eastAsia="zh-CN" w:bidi="ar"/>
              </w:rPr>
              <w:t>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c>
          <w:tcPr>
            <w:tcW w:w="7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c>
          <w:tcPr>
            <w:tcW w:w="10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c>
          <w:tcPr>
            <w:tcW w:w="1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c>
          <w:tcPr>
            <w:tcW w:w="14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c>
          <w:tcPr>
            <w:tcW w:w="7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c>
          <w:tcPr>
            <w:tcW w:w="10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c>
          <w:tcPr>
            <w:tcW w:w="1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c>
          <w:tcPr>
            <w:tcW w:w="14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c>
          <w:tcPr>
            <w:tcW w:w="7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sz w:val="18"/>
                <w:szCs w:val="18"/>
                <w:u w:val="none"/>
              </w:rPr>
            </w:pPr>
            <w:r>
              <w:rPr>
                <w:rStyle w:val="27"/>
                <w:rFonts w:hint="eastAsia" w:asciiTheme="majorEastAsia" w:hAnsiTheme="majorEastAsia" w:eastAsiaTheme="majorEastAsia" w:cstheme="majorEastAsia"/>
                <w:sz w:val="18"/>
                <w:szCs w:val="18"/>
                <w:lang w:val="en-US" w:eastAsia="zh-CN" w:bidi="ar"/>
              </w:rPr>
              <w:t>产出指</w:t>
            </w:r>
            <w:r>
              <w:rPr>
                <w:rStyle w:val="28"/>
                <w:rFonts w:hint="eastAsia" w:asciiTheme="majorEastAsia" w:hAnsiTheme="majorEastAsia" w:eastAsiaTheme="majorEastAsia" w:cstheme="majorEastAsia"/>
                <w:sz w:val="18"/>
                <w:szCs w:val="18"/>
                <w:lang w:val="en-US" w:eastAsia="zh-CN" w:bidi="ar"/>
              </w:rPr>
              <w:t>标</w:t>
            </w:r>
            <w:r>
              <w:rPr>
                <w:rStyle w:val="27"/>
                <w:rFonts w:hint="eastAsia" w:asciiTheme="majorEastAsia" w:hAnsiTheme="majorEastAsia" w:eastAsiaTheme="majorEastAsia" w:cstheme="majorEastAsia"/>
                <w:sz w:val="18"/>
                <w:szCs w:val="18"/>
                <w:lang w:val="en-US" w:eastAsia="zh-CN" w:bidi="ar"/>
              </w:rPr>
              <w:t>(50分)</w:t>
            </w:r>
          </w:p>
        </w:tc>
        <w:tc>
          <w:tcPr>
            <w:tcW w:w="71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color w:val="000000"/>
                <w:sz w:val="18"/>
                <w:szCs w:val="18"/>
                <w:u w:val="none"/>
              </w:rPr>
            </w:pPr>
            <w:r>
              <w:rPr>
                <w:rStyle w:val="23"/>
                <w:rFonts w:hint="eastAsia" w:asciiTheme="majorEastAsia" w:hAnsiTheme="majorEastAsia" w:eastAsiaTheme="majorEastAsia" w:cstheme="majorEastAsia"/>
                <w:sz w:val="18"/>
                <w:szCs w:val="18"/>
                <w:lang w:val="en-US" w:eastAsia="zh-CN" w:bidi="ar"/>
              </w:rPr>
              <w:t>数量指</w:t>
            </w:r>
            <w:r>
              <w:rPr>
                <w:rStyle w:val="24"/>
                <w:rFonts w:hint="eastAsia" w:asciiTheme="majorEastAsia" w:hAnsiTheme="majorEastAsia" w:eastAsiaTheme="majorEastAsia" w:cstheme="majorEastAsia"/>
                <w:sz w:val="18"/>
                <w:szCs w:val="18"/>
                <w:lang w:val="en-US" w:eastAsia="zh-CN" w:bidi="ar"/>
              </w:rPr>
              <w:t>标</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21"/>
                <w:rFonts w:hint="eastAsia" w:asciiTheme="majorEastAsia" w:hAnsiTheme="majorEastAsia" w:eastAsiaTheme="majorEastAsia" w:cstheme="majorEastAsia"/>
                <w:sz w:val="18"/>
                <w:szCs w:val="18"/>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限额以上商贸流通企业培育入规（家）</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21"/>
                <w:rFonts w:hint="eastAsia" w:asciiTheme="majorEastAsia" w:hAnsiTheme="majorEastAsia" w:eastAsiaTheme="majorEastAsia" w:cstheme="majorEastAsia"/>
                <w:sz w:val="18"/>
                <w:szCs w:val="18"/>
                <w:lang w:val="en"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40</w:t>
            </w: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21"/>
                <w:rFonts w:hint="eastAsia" w:asciiTheme="majorEastAsia" w:hAnsiTheme="majorEastAsia" w:eastAsiaTheme="majorEastAsia" w:cstheme="majorEastAsia"/>
                <w:sz w:val="18"/>
                <w:szCs w:val="18"/>
                <w:lang w:val="en" w:eastAsia="zh-CN" w:bidi="ar"/>
              </w:rPr>
            </w:pPr>
            <w:r>
              <w:rPr>
                <w:rFonts w:hint="eastAsia" w:asciiTheme="majorEastAsia" w:hAnsiTheme="majorEastAsia" w:eastAsiaTheme="majorEastAsia" w:cstheme="majorEastAsia"/>
                <w:i w:val="0"/>
                <w:color w:val="000000"/>
                <w:sz w:val="18"/>
                <w:szCs w:val="18"/>
                <w:u w:val="none"/>
                <w:lang w:val="en-US" w:eastAsia="zh-CN"/>
              </w:rPr>
              <w:t>50</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21"/>
                <w:rFonts w:hint="eastAsia" w:asciiTheme="majorEastAsia" w:hAnsiTheme="majorEastAsia" w:eastAsiaTheme="majorEastAsia" w:cstheme="majorEastAsia"/>
                <w:sz w:val="18"/>
                <w:szCs w:val="18"/>
                <w:lang w:val="en-US" w:eastAsia="zh-CN" w:bidi="ar"/>
              </w:rPr>
            </w:pPr>
            <w:r>
              <w:rPr>
                <w:rFonts w:hint="eastAsia" w:asciiTheme="majorEastAsia" w:hAnsiTheme="majorEastAsia" w:eastAsiaTheme="majorEastAsia" w:cstheme="majorEastAsia"/>
                <w:i w:val="0"/>
                <w:color w:val="000000"/>
                <w:sz w:val="18"/>
                <w:szCs w:val="18"/>
                <w:u w:val="none"/>
                <w:lang w:val="en-US" w:eastAsia="zh-CN"/>
              </w:rPr>
              <w:t>8</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21"/>
                <w:rFonts w:hint="eastAsia" w:asciiTheme="majorEastAsia" w:hAnsiTheme="majorEastAsia" w:eastAsiaTheme="majorEastAsia" w:cstheme="majorEastAsia"/>
                <w:sz w:val="18"/>
                <w:szCs w:val="18"/>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8</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2" w:hRule="atLeast"/>
        </w:trPr>
        <w:tc>
          <w:tcPr>
            <w:tcW w:w="7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c>
          <w:tcPr>
            <w:tcW w:w="714"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Theme="majorEastAsia" w:hAnsiTheme="majorEastAsia" w:eastAsiaTheme="majorEastAsia" w:cstheme="majorEastAsia"/>
                <w:i w:val="0"/>
                <w:color w:val="000000"/>
                <w:sz w:val="18"/>
                <w:szCs w:val="18"/>
                <w:u w:val="none"/>
              </w:rPr>
            </w:pP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21"/>
                <w:rFonts w:hint="eastAsia" w:asciiTheme="majorEastAsia" w:hAnsiTheme="majorEastAsia" w:eastAsiaTheme="majorEastAsia" w:cstheme="majorEastAsia"/>
                <w:sz w:val="18"/>
                <w:szCs w:val="18"/>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乡村振兴农村电商示范站点改造（个）</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21"/>
                <w:rFonts w:hint="eastAsia" w:asciiTheme="majorEastAsia" w:hAnsiTheme="majorEastAsia" w:eastAsiaTheme="majorEastAsia" w:cstheme="majorEastAsia"/>
                <w:sz w:val="18"/>
                <w:szCs w:val="18"/>
                <w:lang w:val="en"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40</w:t>
            </w: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21"/>
                <w:rFonts w:hint="eastAsia" w:asciiTheme="majorEastAsia" w:hAnsiTheme="majorEastAsia" w:eastAsiaTheme="majorEastAsia" w:cstheme="majorEastAsia"/>
                <w:sz w:val="18"/>
                <w:szCs w:val="18"/>
                <w:lang w:val="en"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40</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21"/>
                <w:rFonts w:hint="eastAsia" w:asciiTheme="majorEastAsia" w:hAnsiTheme="majorEastAsia" w:eastAsiaTheme="majorEastAsia" w:cstheme="majorEastAsia"/>
                <w:sz w:val="18"/>
                <w:szCs w:val="18"/>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8</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21"/>
                <w:rFonts w:hint="eastAsia" w:asciiTheme="majorEastAsia" w:hAnsiTheme="majorEastAsia" w:eastAsiaTheme="majorEastAsia" w:cstheme="majorEastAsia"/>
                <w:sz w:val="18"/>
                <w:szCs w:val="18"/>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8</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c>
          <w:tcPr>
            <w:tcW w:w="714"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21"/>
                <w:rFonts w:hint="eastAsia" w:asciiTheme="majorEastAsia" w:hAnsiTheme="majorEastAsia" w:eastAsiaTheme="majorEastAsia" w:cstheme="majorEastAsia"/>
                <w:sz w:val="18"/>
                <w:szCs w:val="18"/>
                <w:lang w:val="en-US" w:eastAsia="zh-CN" w:bidi="ar"/>
              </w:rPr>
            </w:pP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举办促消费活动（次数）</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eastAsia"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12</w:t>
            </w: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i w:val="0"/>
                <w:color w:val="000000"/>
                <w:kern w:val="0"/>
                <w:sz w:val="18"/>
                <w:szCs w:val="18"/>
                <w:u w:val="none"/>
                <w:lang w:val="en-US" w:eastAsia="zh-CN" w:bidi="ar"/>
              </w:rPr>
              <w:t>举办贯穿全年、覆盖城乡的12大促消费活动</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eastAsia"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8</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eastAsia"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8</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eastAsia" w:asciiTheme="majorEastAsia" w:hAnsiTheme="majorEastAsia" w:eastAsiaTheme="majorEastAsia" w:cstheme="majorEastAsia"/>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9" w:hRule="atLeast"/>
        </w:trPr>
        <w:tc>
          <w:tcPr>
            <w:tcW w:w="7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c>
          <w:tcPr>
            <w:tcW w:w="71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21"/>
                <w:rFonts w:hint="eastAsia" w:asciiTheme="majorEastAsia" w:hAnsiTheme="majorEastAsia" w:eastAsiaTheme="majorEastAsia" w:cstheme="majorEastAsia"/>
                <w:sz w:val="18"/>
                <w:szCs w:val="18"/>
                <w:lang w:val="en-US" w:eastAsia="zh-CN" w:bidi="ar"/>
              </w:rPr>
            </w:pPr>
            <w:r>
              <w:rPr>
                <w:rStyle w:val="21"/>
                <w:rFonts w:hint="eastAsia" w:asciiTheme="majorEastAsia" w:hAnsiTheme="majorEastAsia" w:eastAsiaTheme="majorEastAsia" w:cstheme="majorEastAsia"/>
                <w:sz w:val="18"/>
                <w:szCs w:val="18"/>
                <w:lang w:val="en-US" w:eastAsia="zh-CN" w:bidi="ar"/>
              </w:rPr>
              <w:t>质量指标</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21"/>
                <w:rFonts w:hint="eastAsia" w:asciiTheme="majorEastAsia" w:hAnsiTheme="majorEastAsia" w:eastAsiaTheme="majorEastAsia" w:cstheme="majorEastAsia"/>
                <w:sz w:val="18"/>
                <w:szCs w:val="18"/>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社会消费品零售总额增长</w:t>
            </w:r>
            <w:r>
              <w:rPr>
                <w:rStyle w:val="21"/>
                <w:rFonts w:hint="eastAsia" w:asciiTheme="majorEastAsia" w:hAnsiTheme="majorEastAsia" w:eastAsiaTheme="majorEastAsia" w:cstheme="majorEastAsia"/>
                <w:sz w:val="18"/>
                <w:szCs w:val="18"/>
                <w:lang w:val="en-US" w:eastAsia="zh-CN" w:bidi="ar"/>
              </w:rPr>
              <w:t>率（%）</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Style w:val="21"/>
                <w:rFonts w:hint="eastAsia" w:asciiTheme="majorEastAsia" w:hAnsiTheme="majorEastAsia" w:eastAsiaTheme="majorEastAsia" w:cstheme="majorEastAsia"/>
                <w:sz w:val="18"/>
                <w:szCs w:val="18"/>
                <w:lang w:val="en-US" w:eastAsia="zh-CN" w:bidi="ar"/>
              </w:rPr>
            </w:pPr>
            <w:r>
              <w:rPr>
                <w:rFonts w:hint="eastAsia" w:asciiTheme="majorEastAsia" w:hAnsiTheme="majorEastAsia" w:eastAsiaTheme="majorEastAsia" w:cstheme="majorEastAsia"/>
                <w:color w:val="000000"/>
                <w:kern w:val="0"/>
                <w:sz w:val="18"/>
                <w:szCs w:val="18"/>
              </w:rPr>
              <w:t>7.5%</w:t>
            </w: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Style w:val="21"/>
                <w:rFonts w:hint="eastAsia" w:asciiTheme="majorEastAsia" w:hAnsiTheme="majorEastAsia" w:eastAsiaTheme="majorEastAsia" w:cstheme="majorEastAsia"/>
                <w:sz w:val="18"/>
                <w:szCs w:val="18"/>
                <w:lang w:val="en" w:eastAsia="zh-CN" w:bidi="ar"/>
              </w:rPr>
            </w:pPr>
            <w:r>
              <w:rPr>
                <w:rFonts w:hint="eastAsia" w:asciiTheme="majorEastAsia" w:hAnsiTheme="majorEastAsia" w:eastAsiaTheme="majorEastAsia" w:cstheme="majorEastAsia"/>
                <w:color w:val="000000"/>
                <w:kern w:val="0"/>
                <w:sz w:val="18"/>
                <w:szCs w:val="18"/>
              </w:rPr>
              <w:t>2.1%</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Style w:val="21"/>
                <w:rFonts w:hint="eastAsia" w:asciiTheme="majorEastAsia" w:hAnsiTheme="majorEastAsia" w:eastAsiaTheme="majorEastAsia" w:cstheme="majorEastAsia"/>
                <w:sz w:val="18"/>
                <w:szCs w:val="18"/>
                <w:lang w:val="en-US" w:eastAsia="zh-CN" w:bidi="ar"/>
              </w:rPr>
            </w:pPr>
            <w:r>
              <w:rPr>
                <w:rFonts w:hint="eastAsia" w:asciiTheme="majorEastAsia" w:hAnsiTheme="majorEastAsia" w:eastAsiaTheme="majorEastAsia" w:cstheme="majorEastAsia"/>
                <w:color w:val="000000"/>
                <w:kern w:val="0"/>
                <w:sz w:val="18"/>
                <w:szCs w:val="18"/>
                <w:lang w:val="en-US" w:eastAsia="zh-CN"/>
              </w:rPr>
              <w:t>6</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Style w:val="21"/>
                <w:rFonts w:hint="eastAsia" w:asciiTheme="majorEastAsia" w:hAnsiTheme="majorEastAsia" w:eastAsiaTheme="majorEastAsia" w:cstheme="majorEastAsia"/>
                <w:sz w:val="18"/>
                <w:szCs w:val="18"/>
                <w:lang w:val="en-US" w:eastAsia="zh-CN" w:bidi="ar"/>
              </w:rPr>
            </w:pPr>
            <w:r>
              <w:rPr>
                <w:rFonts w:hint="eastAsia" w:asciiTheme="majorEastAsia" w:hAnsiTheme="majorEastAsia" w:eastAsiaTheme="majorEastAsia" w:cstheme="majorEastAsia"/>
                <w:color w:val="000000"/>
                <w:kern w:val="0"/>
                <w:sz w:val="18"/>
                <w:szCs w:val="18"/>
                <w:lang w:val="en-US" w:eastAsia="zh-CN"/>
              </w:rPr>
              <w:t>2</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Style w:val="21"/>
                <w:rFonts w:hint="eastAsia" w:asciiTheme="majorEastAsia" w:hAnsiTheme="majorEastAsia" w:eastAsiaTheme="majorEastAsia" w:cstheme="majorEastAsia"/>
                <w:sz w:val="18"/>
                <w:szCs w:val="18"/>
                <w:lang w:val="en-US" w:eastAsia="zh-CN" w:bidi="ar"/>
              </w:rPr>
            </w:pPr>
            <w:r>
              <w:rPr>
                <w:rFonts w:hint="eastAsia" w:asciiTheme="majorEastAsia" w:hAnsiTheme="majorEastAsia" w:eastAsiaTheme="majorEastAsia" w:cstheme="majorEastAsia"/>
                <w:color w:val="000000"/>
                <w:kern w:val="0"/>
                <w:sz w:val="18"/>
                <w:szCs w:val="18"/>
              </w:rPr>
              <w:t>疫情影响，但高于全国社零平均增速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c>
          <w:tcPr>
            <w:tcW w:w="714"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21"/>
                <w:rFonts w:hint="eastAsia" w:asciiTheme="majorEastAsia" w:hAnsiTheme="majorEastAsia" w:eastAsiaTheme="majorEastAsia" w:cstheme="majorEastAsia"/>
                <w:sz w:val="18"/>
                <w:szCs w:val="18"/>
                <w:lang w:val="en-US" w:eastAsia="zh-CN" w:bidi="ar"/>
              </w:rPr>
            </w:pP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21"/>
                <w:rFonts w:hint="eastAsia" w:asciiTheme="majorEastAsia" w:hAnsiTheme="majorEastAsia" w:eastAsiaTheme="majorEastAsia" w:cstheme="majorEastAsia"/>
                <w:sz w:val="18"/>
                <w:szCs w:val="18"/>
                <w:lang w:val="en-US" w:eastAsia="zh-CN" w:bidi="ar"/>
              </w:rPr>
            </w:pPr>
            <w:r>
              <w:rPr>
                <w:rFonts w:hint="eastAsia" w:asciiTheme="majorEastAsia" w:hAnsiTheme="majorEastAsia" w:eastAsiaTheme="majorEastAsia" w:cstheme="majorEastAsia"/>
                <w:kern w:val="0"/>
                <w:sz w:val="18"/>
                <w:szCs w:val="18"/>
              </w:rPr>
              <w:t>消费劵核销率（%）</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21"/>
                <w:rFonts w:hint="eastAsia" w:asciiTheme="majorEastAsia" w:hAnsiTheme="majorEastAsia" w:eastAsiaTheme="majorEastAsia" w:cstheme="majorEastAsia"/>
                <w:sz w:val="18"/>
                <w:szCs w:val="18"/>
                <w:lang w:val="en-US" w:eastAsia="zh-CN" w:bidi="ar"/>
              </w:rPr>
            </w:pPr>
            <w:r>
              <w:rPr>
                <w:rStyle w:val="21"/>
                <w:rFonts w:hint="eastAsia" w:asciiTheme="majorEastAsia" w:hAnsiTheme="majorEastAsia" w:eastAsiaTheme="majorEastAsia" w:cstheme="majorEastAsia"/>
                <w:sz w:val="18"/>
                <w:szCs w:val="18"/>
                <w:lang w:val="en-US" w:eastAsia="zh-CN" w:bidi="ar"/>
              </w:rPr>
              <w:t>≥95%</w:t>
            </w: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21"/>
                <w:rFonts w:hint="eastAsia" w:asciiTheme="majorEastAsia" w:hAnsiTheme="majorEastAsia" w:eastAsiaTheme="majorEastAsia" w:cstheme="majorEastAsia"/>
                <w:sz w:val="18"/>
                <w:szCs w:val="18"/>
                <w:lang w:val="en" w:eastAsia="zh-CN" w:bidi="ar"/>
              </w:rPr>
            </w:pPr>
            <w:r>
              <w:rPr>
                <w:rStyle w:val="21"/>
                <w:rFonts w:hint="eastAsia" w:asciiTheme="majorEastAsia" w:hAnsiTheme="majorEastAsia" w:eastAsiaTheme="majorEastAsia" w:cstheme="majorEastAsia"/>
                <w:sz w:val="18"/>
                <w:szCs w:val="18"/>
                <w:lang w:val="en-US" w:eastAsia="zh-CN" w:bidi="ar"/>
              </w:rPr>
              <w:t>99.68%</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21"/>
                <w:rFonts w:hint="eastAsia" w:asciiTheme="majorEastAsia" w:hAnsiTheme="majorEastAsia" w:eastAsiaTheme="majorEastAsia" w:cstheme="majorEastAsia"/>
                <w:sz w:val="18"/>
                <w:szCs w:val="18"/>
                <w:lang w:val="en-US" w:eastAsia="zh-CN" w:bidi="ar"/>
              </w:rPr>
            </w:pPr>
            <w:r>
              <w:rPr>
                <w:rStyle w:val="21"/>
                <w:rFonts w:hint="eastAsia" w:asciiTheme="majorEastAsia" w:hAnsiTheme="majorEastAsia" w:eastAsiaTheme="majorEastAsia" w:cstheme="majorEastAsia"/>
                <w:sz w:val="18"/>
                <w:szCs w:val="18"/>
                <w:lang w:val="en-US" w:eastAsia="zh-CN" w:bidi="ar"/>
              </w:rPr>
              <w:t>6</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21"/>
                <w:rFonts w:hint="eastAsia" w:asciiTheme="majorEastAsia" w:hAnsiTheme="majorEastAsia" w:eastAsiaTheme="majorEastAsia" w:cstheme="majorEastAsia"/>
                <w:sz w:val="18"/>
                <w:szCs w:val="18"/>
                <w:lang w:val="en-US" w:eastAsia="zh-CN" w:bidi="ar"/>
              </w:rPr>
            </w:pPr>
            <w:r>
              <w:rPr>
                <w:rStyle w:val="21"/>
                <w:rFonts w:hint="eastAsia" w:asciiTheme="majorEastAsia" w:hAnsiTheme="majorEastAsia" w:eastAsiaTheme="majorEastAsia" w:cstheme="majorEastAsia"/>
                <w:sz w:val="18"/>
                <w:szCs w:val="18"/>
                <w:lang w:val="en-US" w:eastAsia="zh-CN" w:bidi="ar"/>
              </w:rPr>
              <w:t>6</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21"/>
                <w:rFonts w:hint="eastAsia" w:asciiTheme="majorEastAsia" w:hAnsiTheme="majorEastAsia" w:eastAsiaTheme="majorEastAsia" w:cstheme="majorEastAsia"/>
                <w:sz w:val="18"/>
                <w:szCs w:val="18"/>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4" w:hRule="atLeast"/>
        </w:trPr>
        <w:tc>
          <w:tcPr>
            <w:tcW w:w="7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c>
          <w:tcPr>
            <w:tcW w:w="714"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21"/>
                <w:rFonts w:hint="eastAsia" w:asciiTheme="majorEastAsia" w:hAnsiTheme="majorEastAsia" w:eastAsiaTheme="majorEastAsia" w:cstheme="majorEastAsia"/>
                <w:sz w:val="18"/>
                <w:szCs w:val="18"/>
                <w:lang w:val="en-US" w:eastAsia="zh-CN" w:bidi="ar"/>
              </w:rPr>
            </w:pP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21"/>
                <w:rFonts w:hint="eastAsia" w:asciiTheme="majorEastAsia" w:hAnsiTheme="majorEastAsia" w:eastAsiaTheme="majorEastAsia" w:cstheme="majorEastAsia"/>
                <w:sz w:val="18"/>
                <w:szCs w:val="18"/>
                <w:lang w:val="en-US" w:eastAsia="zh-CN" w:bidi="ar"/>
              </w:rPr>
            </w:pPr>
            <w:r>
              <w:rPr>
                <w:rStyle w:val="21"/>
                <w:rFonts w:hint="eastAsia" w:asciiTheme="majorEastAsia" w:hAnsiTheme="majorEastAsia" w:eastAsiaTheme="majorEastAsia" w:cstheme="majorEastAsia"/>
                <w:sz w:val="18"/>
                <w:szCs w:val="18"/>
                <w:lang w:val="en" w:eastAsia="zh-CN" w:bidi="ar"/>
              </w:rPr>
              <w:t>物资保供率（</w:t>
            </w:r>
            <w:r>
              <w:rPr>
                <w:rStyle w:val="21"/>
                <w:rFonts w:hint="eastAsia" w:asciiTheme="majorEastAsia" w:hAnsiTheme="majorEastAsia" w:eastAsiaTheme="majorEastAsia" w:cstheme="majorEastAsia"/>
                <w:sz w:val="18"/>
                <w:szCs w:val="18"/>
                <w:lang w:val="en-US" w:eastAsia="zh-CN" w:bidi="ar"/>
              </w:rPr>
              <w:t>%）</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21"/>
                <w:rFonts w:hint="eastAsia" w:asciiTheme="majorEastAsia" w:hAnsiTheme="majorEastAsia" w:eastAsiaTheme="majorEastAsia" w:cstheme="majorEastAsia"/>
                <w:sz w:val="18"/>
                <w:szCs w:val="18"/>
                <w:lang w:val="en-US" w:eastAsia="zh-CN" w:bidi="ar"/>
              </w:rPr>
            </w:pPr>
            <w:r>
              <w:rPr>
                <w:rStyle w:val="21"/>
                <w:rFonts w:hint="eastAsia" w:asciiTheme="majorEastAsia" w:hAnsiTheme="majorEastAsia" w:eastAsiaTheme="majorEastAsia" w:cstheme="majorEastAsia"/>
                <w:sz w:val="18"/>
                <w:szCs w:val="18"/>
                <w:lang w:val="en-US" w:eastAsia="zh-CN" w:bidi="ar"/>
              </w:rPr>
              <w:t>100</w:t>
            </w: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21"/>
                <w:rFonts w:hint="eastAsia" w:asciiTheme="majorEastAsia" w:hAnsiTheme="majorEastAsia" w:eastAsiaTheme="majorEastAsia" w:cstheme="majorEastAsia"/>
                <w:sz w:val="18"/>
                <w:szCs w:val="18"/>
                <w:lang w:val="en-US" w:eastAsia="zh-CN" w:bidi="ar"/>
              </w:rPr>
            </w:pPr>
            <w:r>
              <w:rPr>
                <w:rStyle w:val="21"/>
                <w:rFonts w:hint="eastAsia" w:asciiTheme="majorEastAsia" w:hAnsiTheme="majorEastAsia" w:eastAsiaTheme="majorEastAsia" w:cstheme="majorEastAsia"/>
                <w:sz w:val="18"/>
                <w:szCs w:val="18"/>
                <w:lang w:val="en-US" w:eastAsia="zh-CN" w:bidi="ar"/>
              </w:rPr>
              <w:t>100</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21"/>
                <w:rFonts w:hint="eastAsia" w:asciiTheme="majorEastAsia" w:hAnsiTheme="majorEastAsia" w:eastAsiaTheme="majorEastAsia" w:cstheme="majorEastAsia"/>
                <w:sz w:val="18"/>
                <w:szCs w:val="18"/>
                <w:lang w:val="en-US" w:eastAsia="zh-CN" w:bidi="ar"/>
              </w:rPr>
            </w:pPr>
            <w:r>
              <w:rPr>
                <w:rStyle w:val="21"/>
                <w:rFonts w:hint="eastAsia" w:asciiTheme="majorEastAsia" w:hAnsiTheme="majorEastAsia" w:eastAsiaTheme="majorEastAsia" w:cstheme="majorEastAsia"/>
                <w:sz w:val="18"/>
                <w:szCs w:val="18"/>
                <w:lang w:val="en-US" w:eastAsia="zh-CN" w:bidi="ar"/>
              </w:rPr>
              <w:t>6</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21"/>
                <w:rFonts w:hint="eastAsia" w:asciiTheme="majorEastAsia" w:hAnsiTheme="majorEastAsia" w:eastAsiaTheme="majorEastAsia" w:cstheme="majorEastAsia"/>
                <w:sz w:val="18"/>
                <w:szCs w:val="18"/>
                <w:lang w:val="en-US" w:eastAsia="zh-CN" w:bidi="ar"/>
              </w:rPr>
            </w:pPr>
            <w:r>
              <w:rPr>
                <w:rStyle w:val="21"/>
                <w:rFonts w:hint="eastAsia" w:asciiTheme="majorEastAsia" w:hAnsiTheme="majorEastAsia" w:eastAsiaTheme="majorEastAsia" w:cstheme="majorEastAsia"/>
                <w:sz w:val="18"/>
                <w:szCs w:val="18"/>
                <w:lang w:val="en-US" w:eastAsia="zh-CN" w:bidi="ar"/>
              </w:rPr>
              <w:t>6</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21"/>
                <w:rFonts w:hint="eastAsia" w:asciiTheme="majorEastAsia" w:hAnsiTheme="majorEastAsia" w:eastAsiaTheme="majorEastAsia" w:cstheme="majorEastAsia"/>
                <w:sz w:val="18"/>
                <w:szCs w:val="18"/>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1" w:hRule="atLeast"/>
        </w:trPr>
        <w:tc>
          <w:tcPr>
            <w:tcW w:w="7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21"/>
                <w:rFonts w:hint="eastAsia" w:asciiTheme="majorEastAsia" w:hAnsiTheme="majorEastAsia" w:eastAsiaTheme="majorEastAsia" w:cstheme="majorEastAsia"/>
                <w:sz w:val="18"/>
                <w:szCs w:val="18"/>
                <w:lang w:val="en-US" w:eastAsia="zh-CN" w:bidi="ar"/>
              </w:rPr>
            </w:pPr>
            <w:r>
              <w:rPr>
                <w:rStyle w:val="21"/>
                <w:rFonts w:hint="eastAsia" w:asciiTheme="majorEastAsia" w:hAnsiTheme="majorEastAsia" w:eastAsiaTheme="majorEastAsia" w:cstheme="majorEastAsia"/>
                <w:sz w:val="18"/>
                <w:szCs w:val="18"/>
                <w:lang w:val="en-US" w:eastAsia="zh-CN" w:bidi="ar"/>
              </w:rPr>
              <w:t>时效指标</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21"/>
                <w:rFonts w:hint="eastAsia" w:asciiTheme="majorEastAsia" w:hAnsiTheme="majorEastAsia" w:eastAsiaTheme="majorEastAsia" w:cstheme="majorEastAsia"/>
                <w:sz w:val="18"/>
                <w:szCs w:val="18"/>
                <w:lang w:val="en" w:eastAsia="zh-CN" w:bidi="ar"/>
              </w:rPr>
            </w:pPr>
            <w:r>
              <w:rPr>
                <w:rStyle w:val="21"/>
                <w:rFonts w:hint="eastAsia" w:asciiTheme="majorEastAsia" w:hAnsiTheme="majorEastAsia" w:eastAsiaTheme="majorEastAsia" w:cstheme="majorEastAsia"/>
                <w:sz w:val="18"/>
                <w:szCs w:val="18"/>
                <w:lang w:val="en" w:eastAsia="zh-CN" w:bidi="ar"/>
              </w:rPr>
              <w:t>当年完成任务</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21"/>
                <w:rFonts w:hint="eastAsia" w:asciiTheme="majorEastAsia" w:hAnsiTheme="majorEastAsia" w:eastAsiaTheme="majorEastAsia" w:cstheme="majorEastAsia"/>
                <w:sz w:val="18"/>
                <w:szCs w:val="18"/>
                <w:lang w:val="en-US" w:eastAsia="zh-CN" w:bidi="ar"/>
              </w:rPr>
            </w:pPr>
            <w:r>
              <w:rPr>
                <w:rStyle w:val="21"/>
                <w:rFonts w:hint="eastAsia" w:asciiTheme="majorEastAsia" w:hAnsiTheme="majorEastAsia" w:eastAsiaTheme="majorEastAsia" w:cstheme="majorEastAsia"/>
                <w:sz w:val="18"/>
                <w:szCs w:val="18"/>
                <w:lang w:val="en-US" w:eastAsia="zh-CN" w:bidi="ar"/>
              </w:rPr>
              <w:t>完成</w:t>
            </w: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21"/>
                <w:rFonts w:hint="eastAsia" w:asciiTheme="majorEastAsia" w:hAnsiTheme="majorEastAsia" w:eastAsiaTheme="majorEastAsia" w:cstheme="majorEastAsia"/>
                <w:sz w:val="18"/>
                <w:szCs w:val="18"/>
                <w:lang w:val="en-US" w:eastAsia="zh-CN" w:bidi="ar"/>
              </w:rPr>
            </w:pPr>
            <w:r>
              <w:rPr>
                <w:rStyle w:val="21"/>
                <w:rFonts w:hint="eastAsia" w:asciiTheme="majorEastAsia" w:hAnsiTheme="majorEastAsia" w:eastAsiaTheme="majorEastAsia" w:cstheme="majorEastAsia"/>
                <w:sz w:val="18"/>
                <w:szCs w:val="18"/>
                <w:lang w:val="en-US" w:eastAsia="zh-CN" w:bidi="ar"/>
              </w:rPr>
              <w:t>完成</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21"/>
                <w:rFonts w:hint="eastAsia" w:asciiTheme="majorEastAsia" w:hAnsiTheme="majorEastAsia" w:eastAsiaTheme="majorEastAsia" w:cstheme="majorEastAsia"/>
                <w:sz w:val="18"/>
                <w:szCs w:val="18"/>
                <w:lang w:val="en-US" w:eastAsia="zh-CN" w:bidi="ar"/>
              </w:rPr>
            </w:pPr>
            <w:r>
              <w:rPr>
                <w:rStyle w:val="21"/>
                <w:rFonts w:hint="eastAsia" w:asciiTheme="majorEastAsia" w:hAnsiTheme="majorEastAsia" w:eastAsiaTheme="majorEastAsia" w:cstheme="majorEastAsia"/>
                <w:sz w:val="18"/>
                <w:szCs w:val="18"/>
                <w:lang w:val="en-US" w:eastAsia="zh-CN" w:bidi="ar"/>
              </w:rPr>
              <w:t>4</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21"/>
                <w:rFonts w:hint="eastAsia" w:asciiTheme="majorEastAsia" w:hAnsiTheme="majorEastAsia" w:eastAsiaTheme="majorEastAsia" w:cstheme="majorEastAsia"/>
                <w:sz w:val="18"/>
                <w:szCs w:val="18"/>
                <w:lang w:val="en-US" w:eastAsia="zh-CN" w:bidi="ar"/>
              </w:rPr>
            </w:pPr>
            <w:r>
              <w:rPr>
                <w:rStyle w:val="21"/>
                <w:rFonts w:hint="eastAsia" w:asciiTheme="majorEastAsia" w:hAnsiTheme="majorEastAsia" w:eastAsiaTheme="majorEastAsia" w:cstheme="majorEastAsia"/>
                <w:sz w:val="18"/>
                <w:szCs w:val="18"/>
                <w:lang w:val="en-US" w:eastAsia="zh-CN" w:bidi="ar"/>
              </w:rPr>
              <w:t>4</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21"/>
                <w:rFonts w:hint="eastAsia" w:asciiTheme="majorEastAsia" w:hAnsiTheme="majorEastAsia" w:eastAsiaTheme="majorEastAsia" w:cstheme="majorEastAsia"/>
                <w:sz w:val="18"/>
                <w:szCs w:val="18"/>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5" w:hRule="atLeast"/>
        </w:trPr>
        <w:tc>
          <w:tcPr>
            <w:tcW w:w="7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21"/>
                <w:rFonts w:hint="eastAsia" w:asciiTheme="majorEastAsia" w:hAnsiTheme="majorEastAsia" w:eastAsiaTheme="majorEastAsia" w:cstheme="majorEastAsia"/>
                <w:sz w:val="18"/>
                <w:szCs w:val="18"/>
                <w:lang w:val="en-US" w:eastAsia="zh-CN" w:bidi="ar"/>
              </w:rPr>
            </w:pPr>
            <w:r>
              <w:rPr>
                <w:rStyle w:val="21"/>
                <w:rFonts w:hint="eastAsia" w:asciiTheme="majorEastAsia" w:hAnsiTheme="majorEastAsia" w:eastAsiaTheme="majorEastAsia" w:cstheme="majorEastAsia"/>
                <w:sz w:val="18"/>
                <w:szCs w:val="18"/>
                <w:lang w:val="en-US" w:eastAsia="zh-CN" w:bidi="ar"/>
              </w:rPr>
              <w:t>成本指标</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Style w:val="21"/>
                <w:rFonts w:hint="eastAsia" w:asciiTheme="majorEastAsia" w:hAnsiTheme="majorEastAsia" w:eastAsiaTheme="majorEastAsia" w:cstheme="majorEastAsia"/>
                <w:sz w:val="18"/>
                <w:szCs w:val="18"/>
                <w:lang w:val="en-US" w:eastAsia="zh-CN" w:bidi="ar"/>
              </w:rPr>
            </w:pPr>
            <w:r>
              <w:rPr>
                <w:rFonts w:hint="eastAsia" w:asciiTheme="majorEastAsia" w:hAnsiTheme="majorEastAsia" w:eastAsiaTheme="majorEastAsia" w:cstheme="majorEastAsia"/>
                <w:color w:val="000000"/>
                <w:kern w:val="0"/>
                <w:sz w:val="18"/>
                <w:szCs w:val="18"/>
              </w:rPr>
              <w:t>资金投入是否超概</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Style w:val="21"/>
                <w:rFonts w:hint="eastAsia" w:asciiTheme="majorEastAsia" w:hAnsiTheme="majorEastAsia" w:eastAsiaTheme="majorEastAsia" w:cstheme="majorEastAsia"/>
                <w:sz w:val="18"/>
                <w:szCs w:val="18"/>
                <w:lang w:val="en-US" w:eastAsia="zh-CN" w:bidi="ar"/>
              </w:rPr>
            </w:pPr>
            <w:r>
              <w:rPr>
                <w:rFonts w:hint="eastAsia" w:asciiTheme="majorEastAsia" w:hAnsiTheme="majorEastAsia" w:eastAsiaTheme="majorEastAsia" w:cstheme="majorEastAsia"/>
                <w:color w:val="000000"/>
                <w:kern w:val="0"/>
                <w:sz w:val="18"/>
                <w:szCs w:val="18"/>
              </w:rPr>
              <w:t>否</w:t>
            </w: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Style w:val="21"/>
                <w:rFonts w:hint="eastAsia" w:asciiTheme="majorEastAsia" w:hAnsiTheme="majorEastAsia" w:eastAsiaTheme="majorEastAsia" w:cstheme="majorEastAsia"/>
                <w:sz w:val="18"/>
                <w:szCs w:val="18"/>
                <w:lang w:val="en-US" w:eastAsia="zh-CN" w:bidi="ar"/>
              </w:rPr>
            </w:pPr>
            <w:r>
              <w:rPr>
                <w:rFonts w:hint="eastAsia" w:asciiTheme="majorEastAsia" w:hAnsiTheme="majorEastAsia" w:eastAsiaTheme="majorEastAsia" w:cstheme="majorEastAsia"/>
                <w:color w:val="000000"/>
                <w:kern w:val="0"/>
                <w:sz w:val="18"/>
                <w:szCs w:val="18"/>
              </w:rPr>
              <w:t>否</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21"/>
                <w:rFonts w:hint="eastAsia" w:asciiTheme="majorEastAsia" w:hAnsiTheme="majorEastAsia" w:eastAsiaTheme="majorEastAsia" w:cstheme="majorEastAsia"/>
                <w:sz w:val="18"/>
                <w:szCs w:val="18"/>
                <w:lang w:val="en-US" w:eastAsia="zh-CN" w:bidi="ar"/>
              </w:rPr>
            </w:pPr>
            <w:r>
              <w:rPr>
                <w:rStyle w:val="21"/>
                <w:rFonts w:hint="eastAsia" w:asciiTheme="majorEastAsia" w:hAnsiTheme="majorEastAsia" w:eastAsiaTheme="majorEastAsia" w:cstheme="majorEastAsia"/>
                <w:sz w:val="18"/>
                <w:szCs w:val="18"/>
                <w:lang w:val="en-US" w:eastAsia="zh-CN" w:bidi="ar"/>
              </w:rPr>
              <w:t>4</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21"/>
                <w:rFonts w:hint="eastAsia" w:asciiTheme="majorEastAsia" w:hAnsiTheme="majorEastAsia" w:eastAsiaTheme="majorEastAsia" w:cstheme="majorEastAsia"/>
                <w:sz w:val="18"/>
                <w:szCs w:val="18"/>
                <w:lang w:val="en-US" w:eastAsia="zh-CN" w:bidi="ar"/>
              </w:rPr>
            </w:pPr>
            <w:r>
              <w:rPr>
                <w:rStyle w:val="21"/>
                <w:rFonts w:hint="eastAsia" w:asciiTheme="majorEastAsia" w:hAnsiTheme="majorEastAsia" w:eastAsiaTheme="majorEastAsia" w:cstheme="majorEastAsia"/>
                <w:sz w:val="18"/>
                <w:szCs w:val="18"/>
                <w:lang w:val="en-US" w:eastAsia="zh-CN" w:bidi="ar"/>
              </w:rPr>
              <w:t>4</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21"/>
                <w:rFonts w:hint="eastAsia" w:asciiTheme="majorEastAsia" w:hAnsiTheme="majorEastAsia" w:eastAsiaTheme="majorEastAsia" w:cstheme="majorEastAsia"/>
                <w:sz w:val="18"/>
                <w:szCs w:val="18"/>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4" w:hRule="atLeast"/>
        </w:trPr>
        <w:tc>
          <w:tcPr>
            <w:tcW w:w="7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c>
          <w:tcPr>
            <w:tcW w:w="7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sz w:val="18"/>
                <w:szCs w:val="18"/>
                <w:u w:val="none"/>
              </w:rPr>
            </w:pPr>
            <w:r>
              <w:rPr>
                <w:rStyle w:val="27"/>
                <w:rFonts w:hint="eastAsia" w:asciiTheme="majorEastAsia" w:hAnsiTheme="majorEastAsia" w:eastAsiaTheme="majorEastAsia" w:cstheme="majorEastAsia"/>
                <w:sz w:val="18"/>
                <w:szCs w:val="18"/>
                <w:lang w:val="en-US" w:eastAsia="zh-CN" w:bidi="ar"/>
              </w:rPr>
              <w:t>效益指</w:t>
            </w:r>
            <w:r>
              <w:rPr>
                <w:rStyle w:val="28"/>
                <w:rFonts w:hint="eastAsia" w:asciiTheme="majorEastAsia" w:hAnsiTheme="majorEastAsia" w:eastAsiaTheme="majorEastAsia" w:cstheme="majorEastAsia"/>
                <w:sz w:val="18"/>
                <w:szCs w:val="18"/>
                <w:lang w:val="en-US" w:eastAsia="zh-CN" w:bidi="ar"/>
              </w:rPr>
              <w:t>标（30分）</w:t>
            </w:r>
          </w:p>
        </w:tc>
        <w:tc>
          <w:tcPr>
            <w:tcW w:w="71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21"/>
                <w:rFonts w:hint="eastAsia" w:asciiTheme="majorEastAsia" w:hAnsiTheme="majorEastAsia" w:eastAsiaTheme="majorEastAsia" w:cstheme="majorEastAsia"/>
                <w:sz w:val="18"/>
                <w:szCs w:val="18"/>
                <w:lang w:val="en" w:eastAsia="zh-CN" w:bidi="ar"/>
              </w:rPr>
            </w:pPr>
            <w:r>
              <w:rPr>
                <w:rStyle w:val="21"/>
                <w:rFonts w:hint="eastAsia" w:asciiTheme="majorEastAsia" w:hAnsiTheme="majorEastAsia" w:eastAsiaTheme="majorEastAsia" w:cstheme="majorEastAsia"/>
                <w:sz w:val="18"/>
                <w:szCs w:val="18"/>
                <w:lang w:val="en-US" w:eastAsia="zh-CN" w:bidi="ar"/>
              </w:rPr>
              <w:t>经济效益指标</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Style w:val="21"/>
                <w:rFonts w:hint="eastAsia" w:asciiTheme="majorEastAsia" w:hAnsiTheme="majorEastAsia" w:eastAsiaTheme="majorEastAsia" w:cstheme="majorEastAsia"/>
                <w:sz w:val="18"/>
                <w:szCs w:val="18"/>
                <w:lang w:val="en" w:eastAsia="zh-CN" w:bidi="ar"/>
              </w:rPr>
            </w:pPr>
            <w:r>
              <w:rPr>
                <w:rStyle w:val="21"/>
                <w:rFonts w:hint="eastAsia" w:asciiTheme="majorEastAsia" w:hAnsiTheme="majorEastAsia" w:eastAsiaTheme="majorEastAsia" w:cstheme="majorEastAsia"/>
                <w:sz w:val="18"/>
                <w:szCs w:val="18"/>
                <w:lang w:val="en" w:eastAsia="zh-CN" w:bidi="ar"/>
              </w:rPr>
              <w:t>电子商务交易额（亿元）</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21"/>
                <w:rFonts w:hint="eastAsia" w:asciiTheme="majorEastAsia" w:hAnsiTheme="majorEastAsia" w:eastAsiaTheme="majorEastAsia" w:cstheme="majorEastAsia"/>
                <w:sz w:val="18"/>
                <w:szCs w:val="18"/>
                <w:lang w:val="en" w:eastAsia="zh-CN" w:bidi="ar"/>
              </w:rPr>
            </w:pPr>
            <w:r>
              <w:rPr>
                <w:rStyle w:val="21"/>
                <w:rFonts w:hint="eastAsia" w:asciiTheme="majorEastAsia" w:hAnsiTheme="majorEastAsia" w:eastAsiaTheme="majorEastAsia" w:cstheme="majorEastAsia"/>
                <w:sz w:val="18"/>
                <w:szCs w:val="18"/>
                <w:lang w:val="en" w:eastAsia="zh-CN" w:bidi="ar"/>
              </w:rPr>
              <w:t xml:space="preserve">   140</w:t>
            </w: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21"/>
                <w:rFonts w:hint="eastAsia" w:asciiTheme="majorEastAsia" w:hAnsiTheme="majorEastAsia" w:eastAsiaTheme="majorEastAsia" w:cstheme="majorEastAsia"/>
                <w:sz w:val="18"/>
                <w:szCs w:val="18"/>
                <w:lang w:val="en" w:eastAsia="zh-CN" w:bidi="ar"/>
              </w:rPr>
            </w:pPr>
            <w:r>
              <w:rPr>
                <w:rStyle w:val="21"/>
                <w:rFonts w:hint="eastAsia" w:asciiTheme="majorEastAsia" w:hAnsiTheme="majorEastAsia" w:eastAsiaTheme="majorEastAsia" w:cstheme="majorEastAsia"/>
                <w:sz w:val="18"/>
                <w:szCs w:val="18"/>
                <w:lang w:val="en" w:eastAsia="zh-CN" w:bidi="ar"/>
              </w:rPr>
              <w:t>　160.73</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21"/>
                <w:rFonts w:hint="eastAsia" w:asciiTheme="majorEastAsia" w:hAnsiTheme="majorEastAsia" w:eastAsiaTheme="majorEastAsia" w:cstheme="majorEastAsia"/>
                <w:sz w:val="18"/>
                <w:szCs w:val="18"/>
                <w:lang w:val="en" w:eastAsia="zh-CN" w:bidi="ar"/>
              </w:rPr>
            </w:pPr>
            <w:r>
              <w:rPr>
                <w:rStyle w:val="21"/>
                <w:rFonts w:hint="eastAsia" w:asciiTheme="majorEastAsia" w:hAnsiTheme="majorEastAsia" w:eastAsiaTheme="majorEastAsia" w:cstheme="majorEastAsia"/>
                <w:sz w:val="18"/>
                <w:szCs w:val="18"/>
                <w:lang w:val="en-US" w:eastAsia="zh-CN" w:bidi="ar"/>
              </w:rPr>
              <w:t>5</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21"/>
                <w:rFonts w:hint="eastAsia" w:asciiTheme="majorEastAsia" w:hAnsiTheme="majorEastAsia" w:eastAsiaTheme="majorEastAsia" w:cstheme="majorEastAsia"/>
                <w:sz w:val="18"/>
                <w:szCs w:val="18"/>
                <w:lang w:val="en" w:eastAsia="zh-CN" w:bidi="ar"/>
              </w:rPr>
            </w:pPr>
            <w:r>
              <w:rPr>
                <w:rStyle w:val="21"/>
                <w:rFonts w:hint="eastAsia" w:asciiTheme="majorEastAsia" w:hAnsiTheme="majorEastAsia" w:eastAsiaTheme="majorEastAsia" w:cstheme="majorEastAsia"/>
                <w:sz w:val="18"/>
                <w:szCs w:val="18"/>
                <w:lang w:val="en-US" w:eastAsia="zh-CN" w:bidi="ar"/>
              </w:rPr>
              <w:t>5</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21"/>
                <w:rFonts w:hint="eastAsia" w:asciiTheme="majorEastAsia" w:hAnsiTheme="majorEastAsia" w:eastAsiaTheme="majorEastAsia" w:cstheme="majorEastAsia"/>
                <w:sz w:val="18"/>
                <w:szCs w:val="18"/>
                <w:lang w:val="en"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7" w:hRule="atLeast"/>
        </w:trPr>
        <w:tc>
          <w:tcPr>
            <w:tcW w:w="7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c>
          <w:tcPr>
            <w:tcW w:w="714"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21"/>
                <w:rFonts w:hint="eastAsia" w:asciiTheme="majorEastAsia" w:hAnsiTheme="majorEastAsia" w:eastAsiaTheme="majorEastAsia" w:cstheme="majorEastAsia"/>
                <w:sz w:val="18"/>
                <w:szCs w:val="18"/>
                <w:lang w:val="en" w:eastAsia="zh-CN" w:bidi="ar"/>
              </w:rPr>
            </w:pP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21"/>
                <w:rFonts w:hint="eastAsia" w:asciiTheme="majorEastAsia" w:hAnsiTheme="majorEastAsia" w:eastAsiaTheme="majorEastAsia" w:cstheme="majorEastAsia"/>
                <w:sz w:val="18"/>
                <w:szCs w:val="18"/>
                <w:lang w:val="en" w:eastAsia="zh-CN" w:bidi="ar"/>
              </w:rPr>
            </w:pPr>
            <w:r>
              <w:rPr>
                <w:rStyle w:val="21"/>
                <w:rFonts w:hint="eastAsia" w:asciiTheme="majorEastAsia" w:hAnsiTheme="majorEastAsia" w:eastAsiaTheme="majorEastAsia" w:cstheme="majorEastAsia"/>
                <w:sz w:val="18"/>
                <w:szCs w:val="18"/>
                <w:lang w:val="en-US" w:eastAsia="zh-CN" w:bidi="ar"/>
              </w:rPr>
              <w:t>社会消费品零售总额（亿元）</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21"/>
                <w:rFonts w:hint="eastAsia" w:asciiTheme="majorEastAsia" w:hAnsiTheme="majorEastAsia" w:eastAsiaTheme="majorEastAsia" w:cstheme="majorEastAsia"/>
                <w:sz w:val="18"/>
                <w:szCs w:val="18"/>
                <w:lang w:val="en-US" w:eastAsia="zh-CN" w:bidi="ar"/>
              </w:rPr>
            </w:pPr>
            <w:r>
              <w:rPr>
                <w:rStyle w:val="21"/>
                <w:rFonts w:hint="eastAsia" w:asciiTheme="majorEastAsia" w:hAnsiTheme="majorEastAsia" w:eastAsiaTheme="majorEastAsia" w:cstheme="majorEastAsia"/>
                <w:sz w:val="18"/>
                <w:szCs w:val="18"/>
                <w:lang w:val="en-US" w:eastAsia="zh-CN" w:bidi="ar"/>
              </w:rPr>
              <w:t>306.14</w:t>
            </w: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21"/>
                <w:rFonts w:hint="eastAsia" w:asciiTheme="majorEastAsia" w:hAnsiTheme="majorEastAsia" w:eastAsiaTheme="majorEastAsia" w:cstheme="majorEastAsia"/>
                <w:sz w:val="18"/>
                <w:szCs w:val="18"/>
                <w:lang w:val="en-US" w:eastAsia="zh-CN" w:bidi="ar"/>
              </w:rPr>
            </w:pPr>
            <w:r>
              <w:rPr>
                <w:rStyle w:val="21"/>
                <w:rFonts w:hint="eastAsia" w:asciiTheme="majorEastAsia" w:hAnsiTheme="majorEastAsia" w:eastAsiaTheme="majorEastAsia" w:cstheme="majorEastAsia"/>
                <w:sz w:val="18"/>
                <w:szCs w:val="18"/>
                <w:lang w:val="en-US" w:eastAsia="zh-CN" w:bidi="ar"/>
              </w:rPr>
              <w:t>284.28</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21"/>
                <w:rFonts w:hint="eastAsia" w:asciiTheme="majorEastAsia" w:hAnsiTheme="majorEastAsia" w:eastAsiaTheme="majorEastAsia" w:cstheme="majorEastAsia"/>
                <w:sz w:val="18"/>
                <w:szCs w:val="18"/>
                <w:lang w:val="en" w:eastAsia="zh-CN" w:bidi="ar"/>
              </w:rPr>
            </w:pPr>
            <w:r>
              <w:rPr>
                <w:rStyle w:val="21"/>
                <w:rFonts w:hint="eastAsia" w:asciiTheme="majorEastAsia" w:hAnsiTheme="majorEastAsia" w:eastAsiaTheme="majorEastAsia" w:cstheme="majorEastAsia"/>
                <w:sz w:val="18"/>
                <w:szCs w:val="18"/>
                <w:lang w:val="en-US" w:eastAsia="zh-CN" w:bidi="ar"/>
              </w:rPr>
              <w:t>5</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21"/>
                <w:rFonts w:hint="eastAsia" w:asciiTheme="majorEastAsia" w:hAnsiTheme="majorEastAsia" w:eastAsiaTheme="majorEastAsia" w:cstheme="majorEastAsia"/>
                <w:sz w:val="18"/>
                <w:szCs w:val="18"/>
                <w:lang w:val="en-US" w:eastAsia="zh-CN" w:bidi="ar"/>
              </w:rPr>
            </w:pPr>
            <w:r>
              <w:rPr>
                <w:rStyle w:val="21"/>
                <w:rFonts w:hint="eastAsia" w:asciiTheme="majorEastAsia" w:hAnsiTheme="majorEastAsia" w:eastAsiaTheme="majorEastAsia" w:cstheme="majorEastAsia"/>
                <w:sz w:val="18"/>
                <w:szCs w:val="18"/>
                <w:lang w:val="en-US" w:eastAsia="zh-CN" w:bidi="ar"/>
              </w:rPr>
              <w:t>4.6</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21"/>
                <w:rFonts w:hint="eastAsia" w:asciiTheme="majorEastAsia" w:hAnsiTheme="majorEastAsia" w:eastAsiaTheme="majorEastAsia" w:cstheme="majorEastAsia"/>
                <w:sz w:val="18"/>
                <w:szCs w:val="18"/>
                <w:lang w:val="en" w:eastAsia="zh-CN" w:bidi="ar"/>
              </w:rPr>
            </w:pPr>
            <w:r>
              <w:rPr>
                <w:rStyle w:val="21"/>
                <w:rFonts w:hint="eastAsia" w:asciiTheme="majorEastAsia" w:hAnsiTheme="majorEastAsia" w:eastAsiaTheme="majorEastAsia" w:cstheme="majorEastAsia"/>
                <w:sz w:val="18"/>
                <w:szCs w:val="18"/>
                <w:lang w:val="en" w:eastAsia="zh-CN" w:bidi="ar"/>
              </w:rPr>
              <w:t>疫情影响，但高于全国社零平均增速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3" w:hRule="atLeast"/>
        </w:trPr>
        <w:tc>
          <w:tcPr>
            <w:tcW w:w="7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c>
          <w:tcPr>
            <w:tcW w:w="714"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kern w:val="2"/>
                <w:sz w:val="18"/>
                <w:szCs w:val="18"/>
                <w:u w:val="none"/>
                <w:lang w:val="en-US" w:eastAsia="zh-CN" w:bidi="ar-SA"/>
              </w:rPr>
            </w:pPr>
            <w:r>
              <w:rPr>
                <w:rFonts w:hint="eastAsia" w:asciiTheme="majorEastAsia" w:hAnsiTheme="majorEastAsia" w:eastAsiaTheme="majorEastAsia" w:cstheme="majorEastAsia"/>
                <w:i w:val="0"/>
                <w:color w:val="000000"/>
                <w:kern w:val="0"/>
                <w:sz w:val="18"/>
                <w:szCs w:val="18"/>
                <w:u w:val="none"/>
                <w:lang w:val="en-US" w:eastAsia="zh-CN" w:bidi="ar"/>
              </w:rPr>
              <w:t>农特产品交易额（亿元）</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heme="majorEastAsia" w:hAnsiTheme="majorEastAsia" w:eastAsiaTheme="majorEastAsia" w:cstheme="majorEastAsia"/>
                <w:i w:val="0"/>
                <w:color w:val="000000"/>
                <w:kern w:val="2"/>
                <w:sz w:val="18"/>
                <w:szCs w:val="18"/>
                <w:u w:val="none"/>
                <w:lang w:val="en-US" w:eastAsia="zh-CN" w:bidi="ar-SA"/>
              </w:rPr>
            </w:pPr>
            <w:r>
              <w:rPr>
                <w:rFonts w:hint="eastAsia" w:asciiTheme="majorEastAsia" w:hAnsiTheme="majorEastAsia" w:eastAsiaTheme="majorEastAsia" w:cstheme="majorEastAsia"/>
                <w:i w:val="0"/>
                <w:color w:val="000000"/>
                <w:kern w:val="0"/>
                <w:sz w:val="18"/>
                <w:szCs w:val="18"/>
                <w:u w:val="none"/>
                <w:lang w:val="en-US" w:eastAsia="zh-CN" w:bidi="ar"/>
              </w:rPr>
              <w:t>21</w:t>
            </w: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heme="majorEastAsia" w:hAnsiTheme="majorEastAsia" w:eastAsiaTheme="majorEastAsia" w:cstheme="majorEastAsia"/>
                <w:i w:val="0"/>
                <w:color w:val="000000"/>
                <w:kern w:val="2"/>
                <w:sz w:val="18"/>
                <w:szCs w:val="18"/>
                <w:u w:val="none"/>
                <w:lang w:val="en-US" w:eastAsia="zh-CN" w:bidi="ar-SA"/>
              </w:rPr>
            </w:pPr>
            <w:r>
              <w:rPr>
                <w:rFonts w:hint="eastAsia" w:asciiTheme="majorEastAsia" w:hAnsiTheme="majorEastAsia" w:eastAsiaTheme="majorEastAsia" w:cstheme="majorEastAsia"/>
                <w:i w:val="0"/>
                <w:color w:val="000000"/>
                <w:kern w:val="2"/>
                <w:sz w:val="18"/>
                <w:szCs w:val="18"/>
                <w:u w:val="none"/>
                <w:lang w:val="en-US" w:eastAsia="zh-CN" w:bidi="ar-SA"/>
              </w:rPr>
              <w:t>31.75</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kern w:val="0"/>
                <w:sz w:val="18"/>
                <w:szCs w:val="18"/>
                <w:u w:val="none"/>
                <w:lang w:val="en"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5</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kern w:val="0"/>
                <w:sz w:val="18"/>
                <w:szCs w:val="18"/>
                <w:u w:val="none"/>
                <w:lang w:val="en" w:eastAsia="zh-CN" w:bidi="ar"/>
              </w:rPr>
            </w:pPr>
            <w:r>
              <w:rPr>
                <w:rFonts w:hint="eastAsia" w:asciiTheme="majorEastAsia" w:hAnsiTheme="majorEastAsia" w:eastAsiaTheme="majorEastAsia" w:cstheme="majorEastAsia"/>
                <w:i w:val="0"/>
                <w:color w:val="000000"/>
                <w:kern w:val="0"/>
                <w:sz w:val="18"/>
                <w:szCs w:val="18"/>
                <w:u w:val="none"/>
                <w:lang w:val="en" w:eastAsia="zh-CN" w:bidi="ar"/>
              </w:rPr>
              <w:t>5</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4" w:hRule="atLeast"/>
        </w:trPr>
        <w:tc>
          <w:tcPr>
            <w:tcW w:w="7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c>
          <w:tcPr>
            <w:tcW w:w="714"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r>
              <w:rPr>
                <w:rStyle w:val="23"/>
                <w:rFonts w:hint="eastAsia" w:asciiTheme="majorEastAsia" w:hAnsiTheme="majorEastAsia" w:eastAsiaTheme="majorEastAsia" w:cstheme="majorEastAsia"/>
                <w:sz w:val="18"/>
                <w:szCs w:val="18"/>
                <w:lang w:val="en-US" w:eastAsia="zh-CN" w:bidi="ar"/>
              </w:rPr>
              <w:t>社会</w:t>
            </w:r>
            <w:r>
              <w:rPr>
                <w:rStyle w:val="24"/>
                <w:rFonts w:hint="eastAsia" w:asciiTheme="majorEastAsia" w:hAnsiTheme="majorEastAsia" w:eastAsiaTheme="majorEastAsia" w:cstheme="majorEastAsia"/>
                <w:sz w:val="18"/>
                <w:szCs w:val="18"/>
                <w:lang w:val="en-US" w:eastAsia="zh-CN" w:bidi="ar"/>
              </w:rPr>
              <w:t>效益指标</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争取省政府奖励</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kern w:val="0"/>
                <w:sz w:val="18"/>
                <w:szCs w:val="18"/>
                <w:u w:val="none"/>
                <w:lang w:val="en" w:eastAsia="zh-CN" w:bidi="ar"/>
              </w:rPr>
            </w:pPr>
            <w:r>
              <w:rPr>
                <w:rFonts w:hint="eastAsia" w:asciiTheme="majorEastAsia" w:hAnsiTheme="majorEastAsia" w:eastAsiaTheme="majorEastAsia" w:cstheme="majorEastAsia"/>
                <w:i w:val="0"/>
                <w:color w:val="000000"/>
                <w:kern w:val="0"/>
                <w:sz w:val="18"/>
                <w:szCs w:val="18"/>
                <w:u w:val="none"/>
                <w:lang w:val="en" w:eastAsia="zh-CN" w:bidi="ar"/>
              </w:rPr>
              <w:t>争取省政府真抓实干奖励</w:t>
            </w: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color w:val="000000"/>
                <w:kern w:val="2"/>
                <w:sz w:val="18"/>
                <w:szCs w:val="18"/>
                <w:u w:val="none"/>
                <w:lang w:val="en" w:eastAsia="zh-CN" w:bidi="ar-SA"/>
              </w:rPr>
            </w:pPr>
            <w:r>
              <w:rPr>
                <w:rFonts w:hint="eastAsia" w:asciiTheme="majorEastAsia" w:hAnsiTheme="majorEastAsia" w:eastAsiaTheme="majorEastAsia" w:cstheme="majorEastAsia"/>
                <w:color w:val="000000"/>
                <w:kern w:val="0"/>
                <w:sz w:val="18"/>
                <w:szCs w:val="18"/>
                <w:lang w:val="en-US" w:eastAsia="zh-CN" w:bidi="ar"/>
              </w:rPr>
              <w:t>获得省政府真抓实</w:t>
            </w:r>
            <w:r>
              <w:rPr>
                <w:rFonts w:hint="eastAsia" w:asciiTheme="majorEastAsia" w:hAnsiTheme="majorEastAsia" w:eastAsiaTheme="majorEastAsia" w:cstheme="majorEastAsia"/>
                <w:i w:val="0"/>
                <w:color w:val="000000"/>
                <w:kern w:val="0"/>
                <w:sz w:val="18"/>
                <w:szCs w:val="18"/>
                <w:u w:val="none"/>
                <w:lang w:val="en-US" w:eastAsia="zh-CN" w:bidi="ar"/>
              </w:rPr>
              <w:t>干全面促进消费奖励</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5</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5</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Theme="majorEastAsia" w:hAnsiTheme="majorEastAsia" w:eastAsiaTheme="majorEastAsia" w:cstheme="majorEastAsia"/>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1" w:hRule="atLeast"/>
        </w:trPr>
        <w:tc>
          <w:tcPr>
            <w:tcW w:w="7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c>
          <w:tcPr>
            <w:tcW w:w="71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color w:val="000000"/>
                <w:sz w:val="18"/>
                <w:szCs w:val="18"/>
                <w:u w:val="none"/>
              </w:rPr>
            </w:pPr>
            <w:r>
              <w:rPr>
                <w:rStyle w:val="23"/>
                <w:rFonts w:hint="eastAsia" w:asciiTheme="majorEastAsia" w:hAnsiTheme="majorEastAsia" w:eastAsiaTheme="majorEastAsia" w:cstheme="majorEastAsia"/>
                <w:sz w:val="18"/>
                <w:szCs w:val="18"/>
                <w:lang w:val="en-US" w:eastAsia="zh-CN" w:bidi="ar"/>
              </w:rPr>
              <w:t>可持续影响指</w:t>
            </w:r>
            <w:r>
              <w:rPr>
                <w:rStyle w:val="24"/>
                <w:rFonts w:hint="eastAsia" w:asciiTheme="majorEastAsia" w:hAnsiTheme="majorEastAsia" w:eastAsiaTheme="majorEastAsia" w:cstheme="majorEastAsia"/>
                <w:sz w:val="18"/>
                <w:szCs w:val="18"/>
                <w:lang w:val="en-US" w:eastAsia="zh-CN" w:bidi="ar"/>
              </w:rPr>
              <w:t>标</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是否拉动市场消费</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是</w:t>
            </w: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是</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5</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5</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1" w:hRule="atLeast"/>
        </w:trPr>
        <w:tc>
          <w:tcPr>
            <w:tcW w:w="7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c>
          <w:tcPr>
            <w:tcW w:w="714"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color w:val="000000"/>
                <w:sz w:val="18"/>
                <w:szCs w:val="18"/>
                <w:u w:val="none"/>
              </w:rPr>
            </w:pP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提升湘西名优特产的品牌知名度</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成效明显</w:t>
            </w: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成效明显</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5</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4.5</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通过展会进一步提升湘西名优特产的品牌知名度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c>
          <w:tcPr>
            <w:tcW w:w="7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sz w:val="18"/>
                <w:szCs w:val="18"/>
                <w:u w:val="none"/>
              </w:rPr>
            </w:pPr>
            <w:r>
              <w:rPr>
                <w:rStyle w:val="27"/>
                <w:rFonts w:hint="eastAsia" w:asciiTheme="majorEastAsia" w:hAnsiTheme="majorEastAsia" w:eastAsiaTheme="majorEastAsia" w:cstheme="majorEastAsia"/>
                <w:sz w:val="18"/>
                <w:szCs w:val="18"/>
                <w:lang w:val="en-US" w:eastAsia="zh-CN" w:bidi="ar"/>
              </w:rPr>
              <w:t>满意</w:t>
            </w:r>
            <w:r>
              <w:rPr>
                <w:rStyle w:val="28"/>
                <w:rFonts w:hint="eastAsia" w:asciiTheme="majorEastAsia" w:hAnsiTheme="majorEastAsia" w:eastAsiaTheme="majorEastAsia" w:cstheme="majorEastAsia"/>
                <w:sz w:val="18"/>
                <w:szCs w:val="18"/>
                <w:lang w:val="en-US" w:eastAsia="zh-CN" w:bidi="ar"/>
              </w:rPr>
              <w:t>度指标（10分）</w:t>
            </w:r>
          </w:p>
        </w:tc>
        <w:tc>
          <w:tcPr>
            <w:tcW w:w="7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ajorEastAsia" w:hAnsiTheme="majorEastAsia" w:eastAsiaTheme="majorEastAsia" w:cstheme="majorEastAsia"/>
                <w:i w:val="0"/>
                <w:color w:val="000000"/>
                <w:sz w:val="18"/>
                <w:szCs w:val="18"/>
                <w:u w:val="none"/>
              </w:rPr>
            </w:pPr>
            <w:r>
              <w:rPr>
                <w:rStyle w:val="23"/>
                <w:rFonts w:hint="eastAsia" w:asciiTheme="majorEastAsia" w:hAnsiTheme="majorEastAsia" w:eastAsiaTheme="majorEastAsia" w:cstheme="majorEastAsia"/>
                <w:sz w:val="18"/>
                <w:szCs w:val="18"/>
                <w:lang w:val="en-US" w:eastAsia="zh-CN" w:bidi="ar"/>
              </w:rPr>
              <w:t>服务对象满意度指</w:t>
            </w:r>
            <w:r>
              <w:rPr>
                <w:rStyle w:val="24"/>
                <w:rFonts w:hint="eastAsia" w:asciiTheme="majorEastAsia" w:hAnsiTheme="majorEastAsia" w:eastAsiaTheme="majorEastAsia" w:cstheme="majorEastAsia"/>
                <w:sz w:val="18"/>
                <w:szCs w:val="18"/>
                <w:lang w:val="en-US" w:eastAsia="zh-CN" w:bidi="ar"/>
              </w:rPr>
              <w:t>标</w:t>
            </w:r>
          </w:p>
        </w:tc>
        <w:tc>
          <w:tcPr>
            <w:tcW w:w="12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社会公众满意度</w:t>
            </w:r>
          </w:p>
        </w:tc>
        <w:tc>
          <w:tcPr>
            <w:tcW w:w="10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≥90%</w:t>
            </w:r>
          </w:p>
        </w:tc>
        <w:tc>
          <w:tcPr>
            <w:tcW w:w="16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  95%以上</w:t>
            </w:r>
          </w:p>
        </w:tc>
        <w:tc>
          <w:tcPr>
            <w:tcW w:w="7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5</w:t>
            </w:r>
          </w:p>
        </w:tc>
        <w:tc>
          <w:tcPr>
            <w:tcW w:w="7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5</w:t>
            </w:r>
          </w:p>
        </w:tc>
        <w:tc>
          <w:tcPr>
            <w:tcW w:w="14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c>
          <w:tcPr>
            <w:tcW w:w="7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Theme="majorEastAsia" w:hAnsiTheme="majorEastAsia" w:eastAsiaTheme="majorEastAsia" w:cstheme="majorEastAsia"/>
                <w:i w:val="0"/>
                <w:color w:val="000000"/>
                <w:sz w:val="18"/>
                <w:szCs w:val="18"/>
                <w:u w:val="none"/>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c>
          <w:tcPr>
            <w:tcW w:w="10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c>
          <w:tcPr>
            <w:tcW w:w="1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c>
          <w:tcPr>
            <w:tcW w:w="14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9" w:hRule="atLeast"/>
        </w:trPr>
        <w:tc>
          <w:tcPr>
            <w:tcW w:w="7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c>
          <w:tcPr>
            <w:tcW w:w="7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Theme="majorEastAsia" w:hAnsiTheme="majorEastAsia" w:eastAsiaTheme="majorEastAsia" w:cstheme="majorEastAsia"/>
                <w:i w:val="0"/>
                <w:color w:val="000000"/>
                <w:sz w:val="18"/>
                <w:szCs w:val="18"/>
                <w:u w:val="none"/>
              </w:rPr>
            </w:pP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服务对象满意度</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≥90%</w:t>
            </w: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sz w:val="18"/>
                <w:szCs w:val="18"/>
                <w:u w:val="none"/>
                <w:lang w:val="en-US" w:eastAsia="zh-CN"/>
              </w:rPr>
            </w:pPr>
            <w:r>
              <w:rPr>
                <w:rFonts w:hint="eastAsia" w:asciiTheme="majorEastAsia" w:hAnsiTheme="majorEastAsia" w:eastAsiaTheme="majorEastAsia" w:cstheme="majorEastAsia"/>
                <w:i w:val="0"/>
                <w:color w:val="000000"/>
                <w:sz w:val="18"/>
                <w:szCs w:val="18"/>
                <w:u w:val="none"/>
                <w:lang w:val="en-US" w:eastAsia="zh-CN"/>
              </w:rPr>
              <w:t>95%以上</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5</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5</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7" w:hRule="atLeast"/>
        </w:trPr>
        <w:tc>
          <w:tcPr>
            <w:tcW w:w="609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sz w:val="18"/>
                <w:szCs w:val="18"/>
                <w:u w:val="none"/>
              </w:rPr>
            </w:pPr>
            <w:r>
              <w:rPr>
                <w:rStyle w:val="23"/>
                <w:rFonts w:hint="eastAsia" w:asciiTheme="majorEastAsia" w:hAnsiTheme="majorEastAsia" w:eastAsiaTheme="majorEastAsia" w:cstheme="majorEastAsia"/>
                <w:sz w:val="18"/>
                <w:szCs w:val="18"/>
                <w:lang w:val="en-US" w:eastAsia="zh-CN" w:bidi="ar"/>
              </w:rPr>
              <w:t>总</w:t>
            </w:r>
            <w:r>
              <w:rPr>
                <w:rStyle w:val="24"/>
                <w:rFonts w:hint="eastAsia" w:asciiTheme="majorEastAsia" w:hAnsiTheme="majorEastAsia" w:eastAsiaTheme="majorEastAsia" w:cstheme="majorEastAsia"/>
                <w:sz w:val="18"/>
                <w:szCs w:val="18"/>
                <w:lang w:val="en-US" w:eastAsia="zh-CN" w:bidi="ar"/>
              </w:rPr>
              <w:t>分</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100</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heme="majorEastAsia" w:hAnsiTheme="majorEastAsia" w:eastAsiaTheme="majorEastAsia" w:cstheme="majorEastAsia"/>
                <w:i w:val="0"/>
                <w:color w:val="000000"/>
                <w:sz w:val="18"/>
                <w:szCs w:val="18"/>
                <w:u w:val="none"/>
                <w:lang w:val="en-US"/>
              </w:rPr>
            </w:pPr>
            <w:r>
              <w:rPr>
                <w:rFonts w:hint="eastAsia" w:asciiTheme="majorEastAsia" w:hAnsiTheme="majorEastAsia" w:eastAsiaTheme="majorEastAsia" w:cstheme="majorEastAsia"/>
                <w:i w:val="0"/>
                <w:color w:val="000000"/>
                <w:kern w:val="0"/>
                <w:sz w:val="18"/>
                <w:szCs w:val="18"/>
                <w:u w:val="none"/>
                <w:lang w:val="en-US" w:eastAsia="zh-CN" w:bidi="ar"/>
              </w:rPr>
              <w:t>95.1</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ajorEastAsia" w:hAnsiTheme="majorEastAsia" w:eastAsiaTheme="majorEastAsia" w:cstheme="majorEastAsia"/>
                <w:i w:val="0"/>
                <w:color w:val="000000"/>
                <w:sz w:val="18"/>
                <w:szCs w:val="18"/>
                <w:u w:val="none"/>
              </w:rPr>
            </w:pPr>
          </w:p>
        </w:tc>
      </w:tr>
    </w:tbl>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left"/>
        <w:textAlignment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kern w:val="2"/>
          <w:sz w:val="18"/>
          <w:szCs w:val="18"/>
          <w:lang w:val="en-US" w:eastAsia="zh-CN" w:bidi="ar-SA"/>
        </w:rPr>
        <w:t>说明：此表项目支出不包括财政部门要求单独进行项目支出绩效自评项目，每个一级项目支出填写一张项目支出绩效自评表。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left"/>
        <w:textAlignment w:val="center"/>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kern w:val="2"/>
          <w:sz w:val="18"/>
          <w:szCs w:val="18"/>
          <w:lang w:val="en-US" w:eastAsia="zh-CN" w:bidi="ar-SA"/>
        </w:rPr>
        <w:t>单位负责人签字： 杨凌     填表人：彭艳    联系电话： 8528269     填报日期：2023年6月1日</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left"/>
        <w:textAlignment w:val="center"/>
        <w:rPr>
          <w:rFonts w:hint="eastAsia" w:asciiTheme="majorEastAsia" w:hAnsiTheme="majorEastAsia" w:eastAsiaTheme="majorEastAsia" w:cstheme="majorEastAsia"/>
          <w:kern w:val="2"/>
          <w:sz w:val="18"/>
          <w:szCs w:val="18"/>
          <w:lang w:val="en-US" w:eastAsia="zh-CN" w:bidi="ar-SA"/>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left"/>
        <w:textAlignment w:val="center"/>
        <w:rPr>
          <w:rFonts w:hint="eastAsia" w:asciiTheme="majorEastAsia" w:hAnsiTheme="majorEastAsia" w:eastAsiaTheme="majorEastAsia" w:cstheme="majorEastAsia"/>
          <w:kern w:val="2"/>
          <w:sz w:val="18"/>
          <w:szCs w:val="18"/>
          <w:lang w:val="en-US" w:eastAsia="zh-CN" w:bidi="ar-SA"/>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left"/>
        <w:textAlignment w:val="center"/>
        <w:rPr>
          <w:rFonts w:hint="eastAsia" w:asciiTheme="majorEastAsia" w:hAnsiTheme="majorEastAsia" w:eastAsiaTheme="majorEastAsia" w:cstheme="majorEastAsia"/>
          <w:kern w:val="2"/>
          <w:sz w:val="18"/>
          <w:szCs w:val="18"/>
          <w:lang w:val="en-US" w:eastAsia="zh-CN" w:bidi="ar-SA"/>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left"/>
        <w:textAlignment w:val="center"/>
        <w:rPr>
          <w:rFonts w:hint="eastAsia" w:asciiTheme="majorEastAsia" w:hAnsiTheme="majorEastAsia" w:eastAsiaTheme="majorEastAsia" w:cstheme="majorEastAsia"/>
          <w:kern w:val="2"/>
          <w:sz w:val="18"/>
          <w:szCs w:val="18"/>
          <w:lang w:val="en-US" w:eastAsia="zh-CN" w:bidi="ar-SA"/>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left"/>
        <w:textAlignment w:val="center"/>
        <w:rPr>
          <w:rFonts w:hint="eastAsia" w:asciiTheme="majorEastAsia" w:hAnsiTheme="majorEastAsia" w:eastAsiaTheme="majorEastAsia" w:cstheme="majorEastAsia"/>
          <w:kern w:val="2"/>
          <w:sz w:val="18"/>
          <w:szCs w:val="18"/>
          <w:lang w:val="en-US" w:eastAsia="zh-CN" w:bidi="ar-SA"/>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left"/>
        <w:textAlignment w:val="center"/>
        <w:rPr>
          <w:rFonts w:hint="eastAsia" w:asciiTheme="majorEastAsia" w:hAnsiTheme="majorEastAsia" w:eastAsiaTheme="majorEastAsia" w:cstheme="majorEastAsia"/>
          <w:kern w:val="2"/>
          <w:sz w:val="18"/>
          <w:szCs w:val="18"/>
          <w:lang w:val="en-US" w:eastAsia="zh-CN" w:bidi="ar-SA"/>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left"/>
        <w:textAlignment w:val="center"/>
        <w:rPr>
          <w:rFonts w:hint="eastAsia" w:asciiTheme="majorEastAsia" w:hAnsiTheme="majorEastAsia" w:eastAsiaTheme="majorEastAsia" w:cstheme="majorEastAsia"/>
          <w:kern w:val="2"/>
          <w:sz w:val="18"/>
          <w:szCs w:val="18"/>
          <w:lang w:val="en-US" w:eastAsia="zh-CN" w:bidi="ar-SA"/>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center"/>
        <w:rPr>
          <w:rFonts w:hint="eastAsia" w:eastAsia="仿宋_GB2312" w:cs="仿宋_GB2312"/>
          <w:kern w:val="2"/>
          <w:sz w:val="32"/>
          <w:szCs w:val="32"/>
          <w:lang w:val="en-US" w:eastAsia="zh-CN" w:bidi="ar-SA"/>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center"/>
        <w:rPr>
          <w:rFonts w:hint="eastAsia" w:eastAsia="仿宋_GB2312" w:cs="仿宋_GB2312"/>
          <w:kern w:val="2"/>
          <w:sz w:val="32"/>
          <w:szCs w:val="32"/>
          <w:lang w:val="en-US" w:eastAsia="zh-CN" w:bidi="ar-SA"/>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center"/>
        <w:rPr>
          <w:rFonts w:hint="eastAsia" w:eastAsia="仿宋_GB2312" w:cs="仿宋_GB2312"/>
          <w:kern w:val="2"/>
          <w:sz w:val="32"/>
          <w:szCs w:val="32"/>
          <w:lang w:val="en-US" w:eastAsia="zh-CN" w:bidi="ar-SA"/>
        </w:rPr>
      </w:pPr>
      <w:r>
        <w:rPr>
          <w:rFonts w:hint="eastAsia" w:eastAsia="仿宋_GB2312" w:cs="仿宋_GB2312"/>
          <w:kern w:val="2"/>
          <w:sz w:val="32"/>
          <w:szCs w:val="32"/>
          <w:lang w:val="en-US" w:eastAsia="zh-CN" w:bidi="ar-SA"/>
        </w:rPr>
        <w:t>附件4</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1280" w:firstLineChars="400"/>
        <w:jc w:val="both"/>
        <w:textAlignment w:val="center"/>
        <w:rPr>
          <w:rFonts w:hint="eastAsia" w:ascii="方正小标宋_GBK" w:hAnsi="方正小标宋_GBK" w:eastAsia="方正小标宋_GBK" w:cs="方正小标宋_GBK"/>
          <w:i w:val="0"/>
          <w:iCs w:val="0"/>
          <w:caps w:val="0"/>
          <w:color w:val="333333"/>
          <w:spacing w:val="0"/>
          <w:sz w:val="32"/>
          <w:szCs w:val="32"/>
          <w:lang w:val="en-US" w:eastAsia="zh-CN"/>
        </w:rPr>
      </w:pPr>
      <w:r>
        <w:rPr>
          <w:rFonts w:hint="eastAsia" w:ascii="方正小标宋_GBK" w:hAnsi="方正小标宋_GBK" w:eastAsia="方正小标宋_GBK" w:cs="方正小标宋_GBK"/>
          <w:i w:val="0"/>
          <w:iCs w:val="0"/>
          <w:caps w:val="0"/>
          <w:color w:val="333333"/>
          <w:spacing w:val="0"/>
          <w:sz w:val="32"/>
          <w:szCs w:val="32"/>
          <w:lang w:val="en-US" w:eastAsia="zh-CN"/>
        </w:rPr>
        <w:t>州级预算部门政府性基金预算支出绩效自评表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2560" w:firstLineChars="800"/>
        <w:jc w:val="both"/>
        <w:textAlignment w:val="center"/>
        <w:rPr>
          <w:rFonts w:hint="eastAsia" w:eastAsia="仿宋_GB2312" w:cs="仿宋_GB2312"/>
          <w:kern w:val="2"/>
          <w:sz w:val="32"/>
          <w:szCs w:val="32"/>
          <w:lang w:val="en-US" w:eastAsia="zh-CN" w:bidi="ar-SA"/>
        </w:rPr>
      </w:pPr>
      <w:r>
        <w:rPr>
          <w:rFonts w:hint="eastAsia" w:eastAsia="仿宋_GB2312" w:cs="仿宋_GB2312"/>
          <w:kern w:val="2"/>
          <w:sz w:val="32"/>
          <w:szCs w:val="32"/>
          <w:lang w:val="en-US" w:eastAsia="zh-CN" w:bidi="ar-SA"/>
        </w:rPr>
        <w:t>（2022年度）</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1"/>
        <w:gridCol w:w="1081"/>
        <w:gridCol w:w="1081"/>
        <w:gridCol w:w="1150"/>
        <w:gridCol w:w="1210"/>
        <w:gridCol w:w="1135"/>
        <w:gridCol w:w="829"/>
        <w:gridCol w:w="874"/>
        <w:gridCol w:w="1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8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政府性基金预算支出名称</w:t>
            </w:r>
          </w:p>
        </w:tc>
        <w:tc>
          <w:tcPr>
            <w:tcW w:w="8779" w:type="dxa"/>
            <w:gridSpan w:val="8"/>
            <w:tcBorders>
              <w:top w:val="single" w:color="auto" w:sz="4" w:space="0"/>
              <w:left w:val="nil"/>
              <w:bottom w:val="single" w:color="auto" w:sz="4" w:space="0"/>
              <w:right w:val="single" w:color="auto" w:sz="4" w:space="0"/>
            </w:tcBorders>
            <w:noWrap w:val="0"/>
            <w:vAlign w:val="center"/>
          </w:tcPr>
          <w:p>
            <w:pPr>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b/>
                <w:bCs/>
                <w:color w:val="000000"/>
                <w:sz w:val="18"/>
                <w:szCs w:val="18"/>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主管部门</w:t>
            </w:r>
          </w:p>
        </w:tc>
        <w:tc>
          <w:tcPr>
            <w:tcW w:w="4522" w:type="dxa"/>
            <w:gridSpan w:val="4"/>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1135" w:type="dxa"/>
            <w:tcBorders>
              <w:top w:val="single" w:color="auto" w:sz="4" w:space="0"/>
              <w:left w:val="nil"/>
              <w:bottom w:val="single" w:color="auto" w:sz="4" w:space="0"/>
              <w:right w:val="single" w:color="auto" w:sz="4" w:space="0"/>
            </w:tcBorders>
            <w:noWrap w:val="0"/>
            <w:vAlign w:val="center"/>
          </w:tcPr>
          <w:p>
            <w:pPr>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实施单位</w:t>
            </w:r>
          </w:p>
        </w:tc>
        <w:tc>
          <w:tcPr>
            <w:tcW w:w="3122" w:type="dxa"/>
            <w:gridSpan w:val="3"/>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081" w:type="dxa"/>
            <w:vMerge w:val="restart"/>
            <w:tcBorders>
              <w:top w:val="nil"/>
              <w:left w:val="single" w:color="auto" w:sz="4" w:space="0"/>
              <w:bottom w:val="single" w:color="auto" w:sz="4" w:space="0"/>
              <w:right w:val="single" w:color="auto" w:sz="4" w:space="0"/>
            </w:tcBorders>
            <w:noWrap w:val="0"/>
            <w:vAlign w:val="center"/>
          </w:tcPr>
          <w:p>
            <w:pPr>
              <w:jc w:val="center"/>
              <w:rPr>
                <w:rFonts w:hint="eastAsia" w:asciiTheme="majorEastAsia" w:hAnsiTheme="majorEastAsia" w:eastAsiaTheme="majorEastAsia" w:cstheme="majorEastAsia"/>
                <w:color w:val="000000"/>
                <w:sz w:val="18"/>
                <w:szCs w:val="18"/>
                <w:lang w:eastAsia="zh-CN"/>
              </w:rPr>
            </w:pPr>
            <w:r>
              <w:rPr>
                <w:rFonts w:hint="eastAsia" w:asciiTheme="majorEastAsia" w:hAnsiTheme="majorEastAsia" w:eastAsiaTheme="majorEastAsia" w:cstheme="majorEastAsia"/>
                <w:color w:val="000000"/>
                <w:sz w:val="18"/>
                <w:szCs w:val="18"/>
              </w:rPr>
              <w:t>项目资金</w:t>
            </w:r>
          </w:p>
          <w:p>
            <w:pPr>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（万元）</w:t>
            </w:r>
          </w:p>
        </w:tc>
        <w:tc>
          <w:tcPr>
            <w:tcW w:w="2162" w:type="dxa"/>
            <w:gridSpan w:val="2"/>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1150" w:type="dxa"/>
            <w:tcBorders>
              <w:top w:val="single" w:color="auto" w:sz="4" w:space="0"/>
              <w:left w:val="nil"/>
              <w:bottom w:val="single" w:color="auto" w:sz="4" w:space="0"/>
              <w:right w:val="single" w:color="auto" w:sz="4" w:space="0"/>
            </w:tcBorders>
            <w:noWrap w:val="0"/>
            <w:vAlign w:val="center"/>
          </w:tcPr>
          <w:p>
            <w:pPr>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年初</w:t>
            </w:r>
          </w:p>
          <w:p>
            <w:pPr>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预算数</w:t>
            </w:r>
          </w:p>
        </w:tc>
        <w:tc>
          <w:tcPr>
            <w:tcW w:w="1210" w:type="dxa"/>
            <w:tcBorders>
              <w:top w:val="single" w:color="auto" w:sz="4" w:space="0"/>
              <w:left w:val="nil"/>
              <w:bottom w:val="single" w:color="auto" w:sz="4" w:space="0"/>
              <w:right w:val="single" w:color="auto" w:sz="4" w:space="0"/>
            </w:tcBorders>
            <w:noWrap w:val="0"/>
            <w:vAlign w:val="center"/>
          </w:tcPr>
          <w:p>
            <w:pPr>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全年</w:t>
            </w:r>
          </w:p>
          <w:p>
            <w:pPr>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预算数</w:t>
            </w:r>
          </w:p>
        </w:tc>
        <w:tc>
          <w:tcPr>
            <w:tcW w:w="1135" w:type="dxa"/>
            <w:tcBorders>
              <w:top w:val="single" w:color="auto" w:sz="4" w:space="0"/>
              <w:left w:val="nil"/>
              <w:bottom w:val="single" w:color="auto" w:sz="4" w:space="0"/>
              <w:right w:val="single" w:color="auto" w:sz="4" w:space="0"/>
            </w:tcBorders>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全年</w:t>
            </w:r>
          </w:p>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执行数</w:t>
            </w:r>
          </w:p>
        </w:tc>
        <w:tc>
          <w:tcPr>
            <w:tcW w:w="829" w:type="dxa"/>
            <w:tcBorders>
              <w:top w:val="single" w:color="auto" w:sz="4" w:space="0"/>
              <w:left w:val="nil"/>
              <w:bottom w:val="single" w:color="auto" w:sz="4" w:space="0"/>
              <w:right w:val="single" w:color="auto" w:sz="4" w:space="0"/>
            </w:tcBorders>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分值</w:t>
            </w:r>
          </w:p>
        </w:tc>
        <w:tc>
          <w:tcPr>
            <w:tcW w:w="874" w:type="dxa"/>
            <w:tcBorders>
              <w:top w:val="single" w:color="auto" w:sz="4" w:space="0"/>
              <w:left w:val="nil"/>
              <w:bottom w:val="single" w:color="auto" w:sz="4" w:space="0"/>
              <w:right w:val="single" w:color="auto" w:sz="4" w:space="0"/>
            </w:tcBorders>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执行率</w:t>
            </w:r>
          </w:p>
        </w:tc>
        <w:tc>
          <w:tcPr>
            <w:tcW w:w="1419" w:type="dxa"/>
            <w:tcBorders>
              <w:top w:val="single" w:color="auto" w:sz="4" w:space="0"/>
              <w:left w:val="nil"/>
              <w:bottom w:val="single" w:color="auto" w:sz="4" w:space="0"/>
              <w:right w:val="single" w:color="auto" w:sz="4" w:space="0"/>
            </w:tcBorders>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2162" w:type="dxa"/>
            <w:gridSpan w:val="2"/>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xml:space="preserve">年度资金总额 </w:t>
            </w:r>
          </w:p>
        </w:tc>
        <w:tc>
          <w:tcPr>
            <w:tcW w:w="1150"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1210"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1135"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829"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xml:space="preserve"> 10</w:t>
            </w:r>
          </w:p>
        </w:tc>
        <w:tc>
          <w:tcPr>
            <w:tcW w:w="874"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1419"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2162" w:type="dxa"/>
            <w:gridSpan w:val="2"/>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xml:space="preserve">其中：当年财政拨款 </w:t>
            </w:r>
          </w:p>
        </w:tc>
        <w:tc>
          <w:tcPr>
            <w:tcW w:w="1150"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1210"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1135"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829"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sz w:val="18"/>
                <w:szCs w:val="18"/>
              </w:rPr>
              <w:t>——</w:t>
            </w:r>
          </w:p>
        </w:tc>
        <w:tc>
          <w:tcPr>
            <w:tcW w:w="874"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sz w:val="18"/>
                <w:szCs w:val="18"/>
              </w:rPr>
              <w:t>——</w:t>
            </w:r>
          </w:p>
        </w:tc>
        <w:tc>
          <w:tcPr>
            <w:tcW w:w="1419"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2162" w:type="dxa"/>
            <w:gridSpan w:val="2"/>
            <w:tcBorders>
              <w:top w:val="single" w:color="auto" w:sz="4" w:space="0"/>
              <w:left w:val="nil"/>
              <w:bottom w:val="single" w:color="auto" w:sz="4" w:space="0"/>
              <w:right w:val="single" w:color="auto" w:sz="4" w:space="0"/>
            </w:tcBorders>
            <w:noWrap w:val="0"/>
            <w:vAlign w:val="center"/>
          </w:tcPr>
          <w:p>
            <w:pPr>
              <w:ind w:firstLine="540" w:firstLineChars="300"/>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xml:space="preserve">上年结转资金 </w:t>
            </w:r>
          </w:p>
        </w:tc>
        <w:tc>
          <w:tcPr>
            <w:tcW w:w="1150"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1210"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1135"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829"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sz w:val="18"/>
                <w:szCs w:val="18"/>
              </w:rPr>
              <w:t>——</w:t>
            </w:r>
          </w:p>
        </w:tc>
        <w:tc>
          <w:tcPr>
            <w:tcW w:w="874"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sz w:val="18"/>
                <w:szCs w:val="18"/>
              </w:rPr>
              <w:t>——</w:t>
            </w:r>
          </w:p>
        </w:tc>
        <w:tc>
          <w:tcPr>
            <w:tcW w:w="1419"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2162" w:type="dxa"/>
            <w:gridSpan w:val="2"/>
            <w:tcBorders>
              <w:top w:val="single" w:color="auto" w:sz="4" w:space="0"/>
              <w:left w:val="nil"/>
              <w:bottom w:val="single" w:color="auto" w:sz="4" w:space="0"/>
              <w:right w:val="single" w:color="auto" w:sz="4" w:space="0"/>
            </w:tcBorders>
            <w:noWrap w:val="0"/>
            <w:vAlign w:val="center"/>
          </w:tcPr>
          <w:p>
            <w:pPr>
              <w:ind w:firstLine="540" w:firstLineChars="300"/>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其他资金</w:t>
            </w:r>
          </w:p>
        </w:tc>
        <w:tc>
          <w:tcPr>
            <w:tcW w:w="1150"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1210"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1135"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829"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sz w:val="18"/>
                <w:szCs w:val="18"/>
              </w:rPr>
              <w:t>——</w:t>
            </w:r>
          </w:p>
        </w:tc>
        <w:tc>
          <w:tcPr>
            <w:tcW w:w="874"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sz w:val="18"/>
                <w:szCs w:val="18"/>
              </w:rPr>
              <w:t>——</w:t>
            </w:r>
          </w:p>
        </w:tc>
        <w:tc>
          <w:tcPr>
            <w:tcW w:w="1419"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1081" w:type="dxa"/>
            <w:vMerge w:val="restart"/>
            <w:tcBorders>
              <w:top w:val="nil"/>
              <w:left w:val="single" w:color="auto" w:sz="4" w:space="0"/>
              <w:bottom w:val="single" w:color="auto" w:sz="4" w:space="0"/>
              <w:right w:val="single" w:color="auto" w:sz="4" w:space="0"/>
            </w:tcBorders>
            <w:noWrap w:val="0"/>
            <w:vAlign w:val="center"/>
          </w:tcPr>
          <w:p>
            <w:pPr>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年度总体目标</w:t>
            </w:r>
          </w:p>
        </w:tc>
        <w:tc>
          <w:tcPr>
            <w:tcW w:w="4522" w:type="dxa"/>
            <w:gridSpan w:val="4"/>
            <w:tcBorders>
              <w:top w:val="single" w:color="auto" w:sz="4" w:space="0"/>
              <w:left w:val="nil"/>
              <w:bottom w:val="single" w:color="auto" w:sz="4" w:space="0"/>
              <w:right w:val="single" w:color="auto" w:sz="4" w:space="0"/>
            </w:tcBorders>
            <w:noWrap w:val="0"/>
            <w:vAlign w:val="center"/>
          </w:tcPr>
          <w:p>
            <w:pPr>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预期目标</w:t>
            </w:r>
          </w:p>
        </w:tc>
        <w:tc>
          <w:tcPr>
            <w:tcW w:w="4257" w:type="dxa"/>
            <w:gridSpan w:val="4"/>
            <w:tcBorders>
              <w:top w:val="single" w:color="auto" w:sz="4" w:space="0"/>
              <w:left w:val="nil"/>
              <w:bottom w:val="single" w:color="auto" w:sz="4" w:space="0"/>
              <w:right w:val="single" w:color="auto" w:sz="4" w:space="0"/>
            </w:tcBorders>
            <w:noWrap w:val="0"/>
            <w:vAlign w:val="center"/>
          </w:tcPr>
          <w:p>
            <w:pPr>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xml:space="preserve">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4522" w:type="dxa"/>
            <w:gridSpan w:val="4"/>
            <w:tcBorders>
              <w:top w:val="single" w:color="auto" w:sz="4" w:space="0"/>
              <w:left w:val="nil"/>
              <w:bottom w:val="single" w:color="auto" w:sz="4" w:space="0"/>
              <w:right w:val="single" w:color="auto" w:sz="4" w:space="0"/>
            </w:tcBorders>
            <w:noWrap w:val="0"/>
            <w:vAlign w:val="center"/>
          </w:tcPr>
          <w:p>
            <w:pPr>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xml:space="preserve">  </w:t>
            </w:r>
          </w:p>
        </w:tc>
        <w:tc>
          <w:tcPr>
            <w:tcW w:w="4257" w:type="dxa"/>
            <w:gridSpan w:val="4"/>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081" w:type="dxa"/>
            <w:vMerge w:val="restart"/>
            <w:tcBorders>
              <w:top w:val="nil"/>
              <w:left w:val="single" w:color="auto" w:sz="4" w:space="0"/>
              <w:bottom w:val="single" w:color="auto" w:sz="4" w:space="0"/>
              <w:right w:val="single" w:color="auto" w:sz="4" w:space="0"/>
            </w:tcBorders>
            <w:noWrap w:val="0"/>
            <w:vAlign w:val="center"/>
          </w:tcPr>
          <w:p>
            <w:pPr>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绩</w:t>
            </w:r>
          </w:p>
          <w:p>
            <w:pPr>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效</w:t>
            </w:r>
          </w:p>
          <w:p>
            <w:pPr>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指</w:t>
            </w:r>
          </w:p>
          <w:p>
            <w:pPr>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标</w:t>
            </w:r>
          </w:p>
        </w:tc>
        <w:tc>
          <w:tcPr>
            <w:tcW w:w="1081"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一级指标</w:t>
            </w:r>
          </w:p>
        </w:tc>
        <w:tc>
          <w:tcPr>
            <w:tcW w:w="1081"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二级指标</w:t>
            </w:r>
          </w:p>
        </w:tc>
        <w:tc>
          <w:tcPr>
            <w:tcW w:w="115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三级指标</w:t>
            </w:r>
          </w:p>
        </w:tc>
        <w:tc>
          <w:tcPr>
            <w:tcW w:w="121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年度</w:t>
            </w:r>
          </w:p>
          <w:p>
            <w:pPr>
              <w:spacing w:line="240" w:lineRule="exact"/>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指标值</w:t>
            </w:r>
          </w:p>
        </w:tc>
        <w:tc>
          <w:tcPr>
            <w:tcW w:w="113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实际</w:t>
            </w:r>
          </w:p>
          <w:p>
            <w:pPr>
              <w:spacing w:line="240" w:lineRule="exact"/>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完成值</w:t>
            </w:r>
          </w:p>
        </w:tc>
        <w:tc>
          <w:tcPr>
            <w:tcW w:w="82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分值</w:t>
            </w:r>
          </w:p>
        </w:tc>
        <w:tc>
          <w:tcPr>
            <w:tcW w:w="87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得分</w:t>
            </w:r>
          </w:p>
        </w:tc>
        <w:tc>
          <w:tcPr>
            <w:tcW w:w="141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偏差原因</w:t>
            </w:r>
          </w:p>
          <w:p>
            <w:pPr>
              <w:spacing w:line="240" w:lineRule="exact"/>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分析及</w:t>
            </w:r>
          </w:p>
          <w:p>
            <w:pPr>
              <w:spacing w:line="240" w:lineRule="exact"/>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1081" w:type="dxa"/>
            <w:vMerge w:val="restart"/>
            <w:tcBorders>
              <w:top w:val="nil"/>
              <w:left w:val="nil"/>
              <w:bottom w:val="single" w:color="auto" w:sz="4" w:space="0"/>
              <w:right w:val="single" w:color="auto" w:sz="4" w:space="0"/>
            </w:tcBorders>
            <w:noWrap w:val="0"/>
            <w:vAlign w:val="center"/>
          </w:tcPr>
          <w:p>
            <w:pPr>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产出指标</w:t>
            </w:r>
          </w:p>
          <w:p>
            <w:pPr>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(50分)</w:t>
            </w:r>
          </w:p>
        </w:tc>
        <w:tc>
          <w:tcPr>
            <w:tcW w:w="1081" w:type="dxa"/>
            <w:vMerge w:val="restart"/>
            <w:tcBorders>
              <w:top w:val="nil"/>
              <w:left w:val="nil"/>
              <w:bottom w:val="single" w:color="auto" w:sz="4" w:space="0"/>
              <w:right w:val="single" w:color="auto" w:sz="4" w:space="0"/>
            </w:tcBorders>
            <w:noWrap w:val="0"/>
            <w:vAlign w:val="center"/>
          </w:tcPr>
          <w:p>
            <w:pPr>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数量指标</w:t>
            </w:r>
          </w:p>
        </w:tc>
        <w:tc>
          <w:tcPr>
            <w:tcW w:w="1150"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1210"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1135"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829"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874"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1419"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1081" w:type="dxa"/>
            <w:vMerge w:val="continue"/>
            <w:tcBorders>
              <w:top w:val="nil"/>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1081" w:type="dxa"/>
            <w:vMerge w:val="continue"/>
            <w:tcBorders>
              <w:top w:val="nil"/>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1150"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w:t>
            </w:r>
          </w:p>
        </w:tc>
        <w:tc>
          <w:tcPr>
            <w:tcW w:w="1210"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1135"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829"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874"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1419"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1081" w:type="dxa"/>
            <w:vMerge w:val="continue"/>
            <w:tcBorders>
              <w:top w:val="nil"/>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1081" w:type="dxa"/>
            <w:vMerge w:val="restart"/>
            <w:tcBorders>
              <w:top w:val="nil"/>
              <w:left w:val="nil"/>
              <w:bottom w:val="single" w:color="auto" w:sz="4" w:space="0"/>
              <w:right w:val="single" w:color="auto" w:sz="4" w:space="0"/>
            </w:tcBorders>
            <w:noWrap w:val="0"/>
            <w:vAlign w:val="center"/>
          </w:tcPr>
          <w:p>
            <w:pPr>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质量指标</w:t>
            </w:r>
          </w:p>
        </w:tc>
        <w:tc>
          <w:tcPr>
            <w:tcW w:w="1150"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1210"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1135"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829"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874"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1419"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1081" w:type="dxa"/>
            <w:vMerge w:val="continue"/>
            <w:tcBorders>
              <w:top w:val="nil"/>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1081" w:type="dxa"/>
            <w:vMerge w:val="continue"/>
            <w:tcBorders>
              <w:top w:val="nil"/>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1150"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w:t>
            </w:r>
          </w:p>
        </w:tc>
        <w:tc>
          <w:tcPr>
            <w:tcW w:w="1210"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1135"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829"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874"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1419"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1081" w:type="dxa"/>
            <w:vMerge w:val="continue"/>
            <w:tcBorders>
              <w:top w:val="nil"/>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1081" w:type="dxa"/>
            <w:vMerge w:val="restart"/>
            <w:tcBorders>
              <w:top w:val="nil"/>
              <w:left w:val="nil"/>
              <w:bottom w:val="single" w:color="auto" w:sz="4" w:space="0"/>
              <w:right w:val="single" w:color="auto" w:sz="4" w:space="0"/>
            </w:tcBorders>
            <w:noWrap w:val="0"/>
            <w:vAlign w:val="center"/>
          </w:tcPr>
          <w:p>
            <w:pPr>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时效指标</w:t>
            </w:r>
          </w:p>
        </w:tc>
        <w:tc>
          <w:tcPr>
            <w:tcW w:w="1150"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1210"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1135"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829"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874"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1419"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1081" w:type="dxa"/>
            <w:vMerge w:val="continue"/>
            <w:tcBorders>
              <w:top w:val="nil"/>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1081" w:type="dxa"/>
            <w:vMerge w:val="continue"/>
            <w:tcBorders>
              <w:top w:val="nil"/>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1150"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w:t>
            </w:r>
          </w:p>
        </w:tc>
        <w:tc>
          <w:tcPr>
            <w:tcW w:w="1210"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1135"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829"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874"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1419"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1081" w:type="dxa"/>
            <w:vMerge w:val="continue"/>
            <w:tcBorders>
              <w:top w:val="nil"/>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1081" w:type="dxa"/>
            <w:vMerge w:val="restart"/>
            <w:tcBorders>
              <w:top w:val="nil"/>
              <w:left w:val="nil"/>
              <w:bottom w:val="single" w:color="auto" w:sz="4" w:space="0"/>
              <w:right w:val="single" w:color="auto" w:sz="4" w:space="0"/>
            </w:tcBorders>
            <w:noWrap w:val="0"/>
            <w:vAlign w:val="center"/>
          </w:tcPr>
          <w:p>
            <w:pPr>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成本指标</w:t>
            </w:r>
          </w:p>
        </w:tc>
        <w:tc>
          <w:tcPr>
            <w:tcW w:w="1150"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1210"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1135"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829"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874"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1419"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1081" w:type="dxa"/>
            <w:vMerge w:val="continue"/>
            <w:tcBorders>
              <w:top w:val="nil"/>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1081" w:type="dxa"/>
            <w:vMerge w:val="continue"/>
            <w:tcBorders>
              <w:top w:val="nil"/>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1150"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w:t>
            </w:r>
          </w:p>
        </w:tc>
        <w:tc>
          <w:tcPr>
            <w:tcW w:w="1210"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1135"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829"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874"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1419"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1081" w:type="dxa"/>
            <w:vMerge w:val="restart"/>
            <w:tcBorders>
              <w:top w:val="nil"/>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效益指标</w:t>
            </w:r>
          </w:p>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（30分）</w:t>
            </w:r>
          </w:p>
        </w:tc>
        <w:tc>
          <w:tcPr>
            <w:tcW w:w="1081" w:type="dxa"/>
            <w:vMerge w:val="restart"/>
            <w:tcBorders>
              <w:top w:val="nil"/>
              <w:left w:val="nil"/>
              <w:bottom w:val="single" w:color="auto" w:sz="4" w:space="0"/>
              <w:right w:val="single" w:color="auto" w:sz="4" w:space="0"/>
            </w:tcBorders>
            <w:noWrap w:val="0"/>
            <w:vAlign w:val="center"/>
          </w:tcPr>
          <w:p>
            <w:pPr>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经济效</w:t>
            </w:r>
          </w:p>
          <w:p>
            <w:pPr>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益指标</w:t>
            </w:r>
          </w:p>
        </w:tc>
        <w:tc>
          <w:tcPr>
            <w:tcW w:w="1150"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1210"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1135"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829"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874"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1419"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1081" w:type="dxa"/>
            <w:vMerge w:val="continue"/>
            <w:tcBorders>
              <w:top w:val="nil"/>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1081" w:type="dxa"/>
            <w:vMerge w:val="continue"/>
            <w:tcBorders>
              <w:top w:val="nil"/>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1150"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w:t>
            </w:r>
          </w:p>
        </w:tc>
        <w:tc>
          <w:tcPr>
            <w:tcW w:w="1210"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1135"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829"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874"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1419"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1081" w:type="dxa"/>
            <w:vMerge w:val="continue"/>
            <w:tcBorders>
              <w:top w:val="nil"/>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1081" w:type="dxa"/>
            <w:vMerge w:val="restart"/>
            <w:tcBorders>
              <w:top w:val="nil"/>
              <w:left w:val="nil"/>
              <w:bottom w:val="single" w:color="auto" w:sz="4" w:space="0"/>
              <w:right w:val="single" w:color="auto" w:sz="4" w:space="0"/>
            </w:tcBorders>
            <w:noWrap w:val="0"/>
            <w:vAlign w:val="center"/>
          </w:tcPr>
          <w:p>
            <w:pPr>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社会效</w:t>
            </w:r>
          </w:p>
          <w:p>
            <w:pPr>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益指标</w:t>
            </w:r>
          </w:p>
        </w:tc>
        <w:tc>
          <w:tcPr>
            <w:tcW w:w="1150"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1210"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1135"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829"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874"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1419"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1081" w:type="dxa"/>
            <w:vMerge w:val="continue"/>
            <w:tcBorders>
              <w:top w:val="nil"/>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1081" w:type="dxa"/>
            <w:vMerge w:val="continue"/>
            <w:tcBorders>
              <w:top w:val="nil"/>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1150"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w:t>
            </w:r>
          </w:p>
        </w:tc>
        <w:tc>
          <w:tcPr>
            <w:tcW w:w="1210"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1135"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829"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874"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1419"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1081" w:type="dxa"/>
            <w:vMerge w:val="continue"/>
            <w:tcBorders>
              <w:top w:val="nil"/>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1081" w:type="dxa"/>
            <w:vMerge w:val="restart"/>
            <w:tcBorders>
              <w:top w:val="nil"/>
              <w:left w:val="nil"/>
              <w:bottom w:val="single" w:color="auto" w:sz="4" w:space="0"/>
              <w:right w:val="single" w:color="auto" w:sz="4" w:space="0"/>
            </w:tcBorders>
            <w:noWrap w:val="0"/>
            <w:vAlign w:val="center"/>
          </w:tcPr>
          <w:p>
            <w:pPr>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生态效</w:t>
            </w:r>
          </w:p>
          <w:p>
            <w:pPr>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益指标</w:t>
            </w:r>
          </w:p>
        </w:tc>
        <w:tc>
          <w:tcPr>
            <w:tcW w:w="1150"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1210"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1135"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829"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874"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1419"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1081" w:type="dxa"/>
            <w:vMerge w:val="continue"/>
            <w:tcBorders>
              <w:top w:val="nil"/>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1081" w:type="dxa"/>
            <w:vMerge w:val="continue"/>
            <w:tcBorders>
              <w:top w:val="nil"/>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1150"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w:t>
            </w:r>
          </w:p>
        </w:tc>
        <w:tc>
          <w:tcPr>
            <w:tcW w:w="1210"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1135"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829"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874"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1419"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1081" w:type="dxa"/>
            <w:vMerge w:val="continue"/>
            <w:tcBorders>
              <w:top w:val="nil"/>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1081" w:type="dxa"/>
            <w:vMerge w:val="restart"/>
            <w:tcBorders>
              <w:top w:val="nil"/>
              <w:left w:val="nil"/>
              <w:bottom w:val="single" w:color="auto" w:sz="4" w:space="0"/>
              <w:right w:val="single" w:color="auto" w:sz="4" w:space="0"/>
            </w:tcBorders>
            <w:noWrap w:val="0"/>
            <w:vAlign w:val="center"/>
          </w:tcPr>
          <w:p>
            <w:pPr>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可持续影响指标</w:t>
            </w:r>
          </w:p>
        </w:tc>
        <w:tc>
          <w:tcPr>
            <w:tcW w:w="1150"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1210"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1135"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829"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874"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1419"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1081" w:type="dxa"/>
            <w:vMerge w:val="continue"/>
            <w:tcBorders>
              <w:top w:val="nil"/>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1081" w:type="dxa"/>
            <w:vMerge w:val="continue"/>
            <w:tcBorders>
              <w:top w:val="nil"/>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1150"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w:t>
            </w:r>
          </w:p>
        </w:tc>
        <w:tc>
          <w:tcPr>
            <w:tcW w:w="1210"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1135"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829"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874"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1419"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1081" w:type="dxa"/>
            <w:vMerge w:val="restart"/>
            <w:tcBorders>
              <w:top w:val="nil"/>
              <w:left w:val="nil"/>
              <w:bottom w:val="single" w:color="auto" w:sz="4" w:space="0"/>
              <w:right w:val="single" w:color="auto" w:sz="4" w:space="0"/>
            </w:tcBorders>
            <w:noWrap w:val="0"/>
            <w:vAlign w:val="center"/>
          </w:tcPr>
          <w:p>
            <w:pPr>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满意度</w:t>
            </w:r>
          </w:p>
          <w:p>
            <w:pPr>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指标</w:t>
            </w:r>
          </w:p>
          <w:p>
            <w:pPr>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（10分）</w:t>
            </w:r>
          </w:p>
        </w:tc>
        <w:tc>
          <w:tcPr>
            <w:tcW w:w="1081" w:type="dxa"/>
            <w:vMerge w:val="restart"/>
            <w:tcBorders>
              <w:top w:val="nil"/>
              <w:left w:val="nil"/>
              <w:bottom w:val="single" w:color="auto" w:sz="4" w:space="0"/>
              <w:right w:val="single" w:color="auto" w:sz="4" w:space="0"/>
            </w:tcBorders>
            <w:noWrap w:val="0"/>
            <w:vAlign w:val="center"/>
          </w:tcPr>
          <w:p>
            <w:pPr>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服务对象满意度指标</w:t>
            </w:r>
          </w:p>
        </w:tc>
        <w:tc>
          <w:tcPr>
            <w:tcW w:w="1150"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1210"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1135"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829"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874"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1419"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1081" w:type="dxa"/>
            <w:vMerge w:val="continue"/>
            <w:tcBorders>
              <w:top w:val="nil"/>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1081" w:type="dxa"/>
            <w:vMerge w:val="continue"/>
            <w:tcBorders>
              <w:top w:val="nil"/>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1150"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w:t>
            </w:r>
          </w:p>
        </w:tc>
        <w:tc>
          <w:tcPr>
            <w:tcW w:w="1210"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1135"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829"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874"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1419"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6738"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总分</w:t>
            </w:r>
          </w:p>
        </w:tc>
        <w:tc>
          <w:tcPr>
            <w:tcW w:w="829" w:type="dxa"/>
            <w:tcBorders>
              <w:top w:val="single" w:color="auto" w:sz="4" w:space="0"/>
              <w:left w:val="nil"/>
              <w:bottom w:val="single" w:color="auto" w:sz="4" w:space="0"/>
              <w:right w:val="single" w:color="auto" w:sz="4" w:space="0"/>
            </w:tcBorders>
            <w:noWrap w:val="0"/>
            <w:vAlign w:val="center"/>
          </w:tcPr>
          <w:p>
            <w:pPr>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100</w:t>
            </w:r>
          </w:p>
        </w:tc>
        <w:tc>
          <w:tcPr>
            <w:tcW w:w="874"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1419"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r>
    </w:tbl>
    <w:p>
      <w:pPr>
        <w:spacing w:before="120" w:beforeLines="50"/>
        <w:jc w:val="left"/>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说明：每个一级政府性基金预算支出填写一张政府性基金预算支出绩效自评表。</w:t>
      </w:r>
    </w:p>
    <w:p>
      <w:pPr>
        <w:spacing w:before="156" w:beforeLines="50"/>
        <w:jc w:val="left"/>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单位负责人签字：</w:t>
      </w:r>
      <w:r>
        <w:rPr>
          <w:rFonts w:hint="eastAsia" w:asciiTheme="majorEastAsia" w:hAnsiTheme="majorEastAsia" w:eastAsiaTheme="majorEastAsia" w:cstheme="majorEastAsia"/>
          <w:sz w:val="18"/>
          <w:szCs w:val="18"/>
          <w:lang w:eastAsia="zh-CN"/>
        </w:rPr>
        <w:t>杨凌</w:t>
      </w:r>
      <w:r>
        <w:rPr>
          <w:rFonts w:hint="eastAsia" w:asciiTheme="majorEastAsia" w:hAnsiTheme="majorEastAsia" w:eastAsiaTheme="majorEastAsia" w:cstheme="majorEastAsia"/>
          <w:sz w:val="18"/>
          <w:szCs w:val="18"/>
          <w:lang w:val="en-US" w:eastAsia="zh-CN"/>
        </w:rPr>
        <w:t xml:space="preserve">      </w:t>
      </w:r>
      <w:r>
        <w:rPr>
          <w:rFonts w:hint="eastAsia" w:asciiTheme="majorEastAsia" w:hAnsiTheme="majorEastAsia" w:eastAsiaTheme="majorEastAsia" w:cstheme="majorEastAsia"/>
          <w:sz w:val="18"/>
          <w:szCs w:val="18"/>
        </w:rPr>
        <w:t>填表人：</w:t>
      </w:r>
      <w:r>
        <w:rPr>
          <w:rFonts w:hint="eastAsia" w:asciiTheme="majorEastAsia" w:hAnsiTheme="majorEastAsia" w:eastAsiaTheme="majorEastAsia" w:cstheme="majorEastAsia"/>
          <w:sz w:val="18"/>
          <w:szCs w:val="18"/>
          <w:lang w:eastAsia="zh-CN"/>
        </w:rPr>
        <w:t>彭艳</w:t>
      </w:r>
      <w:r>
        <w:rPr>
          <w:rFonts w:hint="eastAsia" w:asciiTheme="majorEastAsia" w:hAnsiTheme="majorEastAsia" w:eastAsiaTheme="majorEastAsia" w:cstheme="majorEastAsia"/>
          <w:sz w:val="18"/>
          <w:szCs w:val="18"/>
          <w:lang w:val="en-US" w:eastAsia="zh-CN"/>
        </w:rPr>
        <w:t xml:space="preserve"> </w:t>
      </w:r>
      <w:r>
        <w:rPr>
          <w:rFonts w:hint="eastAsia" w:asciiTheme="majorEastAsia" w:hAnsiTheme="majorEastAsia" w:eastAsiaTheme="majorEastAsia" w:cstheme="majorEastAsia"/>
          <w:sz w:val="18"/>
          <w:szCs w:val="18"/>
        </w:rPr>
        <w:t xml:space="preserve"> </w:t>
      </w:r>
      <w:r>
        <w:rPr>
          <w:rFonts w:hint="eastAsia" w:asciiTheme="majorEastAsia" w:hAnsiTheme="majorEastAsia" w:eastAsiaTheme="majorEastAsia" w:cstheme="majorEastAsia"/>
          <w:sz w:val="18"/>
          <w:szCs w:val="18"/>
          <w:lang w:val="en-US" w:eastAsia="zh-CN"/>
        </w:rPr>
        <w:t xml:space="preserve">     </w:t>
      </w:r>
      <w:r>
        <w:rPr>
          <w:rFonts w:hint="eastAsia" w:asciiTheme="majorEastAsia" w:hAnsiTheme="majorEastAsia" w:eastAsiaTheme="majorEastAsia" w:cstheme="majorEastAsia"/>
          <w:sz w:val="18"/>
          <w:szCs w:val="18"/>
        </w:rPr>
        <w:t>联系电话：</w:t>
      </w:r>
      <w:r>
        <w:rPr>
          <w:rFonts w:hint="eastAsia" w:asciiTheme="majorEastAsia" w:hAnsiTheme="majorEastAsia" w:eastAsiaTheme="majorEastAsia" w:cstheme="majorEastAsia"/>
          <w:sz w:val="18"/>
          <w:szCs w:val="18"/>
          <w:lang w:val="en-US" w:eastAsia="zh-CN"/>
        </w:rPr>
        <w:t xml:space="preserve">8528269    </w:t>
      </w:r>
      <w:r>
        <w:rPr>
          <w:rFonts w:hint="eastAsia" w:asciiTheme="majorEastAsia" w:hAnsiTheme="majorEastAsia" w:eastAsiaTheme="majorEastAsia" w:cstheme="majorEastAsia"/>
          <w:sz w:val="18"/>
          <w:szCs w:val="18"/>
        </w:rPr>
        <w:t>填报日期：202</w:t>
      </w:r>
      <w:r>
        <w:rPr>
          <w:rFonts w:hint="eastAsia" w:asciiTheme="majorEastAsia" w:hAnsiTheme="majorEastAsia" w:eastAsiaTheme="majorEastAsia" w:cstheme="majorEastAsia"/>
          <w:sz w:val="18"/>
          <w:szCs w:val="18"/>
          <w:lang w:val="en-US" w:eastAsia="zh-CN"/>
        </w:rPr>
        <w:t>3</w:t>
      </w:r>
      <w:r>
        <w:rPr>
          <w:rFonts w:hint="eastAsia" w:asciiTheme="majorEastAsia" w:hAnsiTheme="majorEastAsia" w:eastAsiaTheme="majorEastAsia" w:cstheme="majorEastAsia"/>
          <w:sz w:val="18"/>
          <w:szCs w:val="18"/>
        </w:rPr>
        <w:t xml:space="preserve"> 年 </w:t>
      </w:r>
      <w:r>
        <w:rPr>
          <w:rFonts w:hint="eastAsia" w:asciiTheme="majorEastAsia" w:hAnsiTheme="majorEastAsia" w:eastAsiaTheme="majorEastAsia" w:cstheme="majorEastAsia"/>
          <w:sz w:val="18"/>
          <w:szCs w:val="18"/>
          <w:lang w:val="en-US" w:eastAsia="zh-CN"/>
        </w:rPr>
        <w:t>6</w:t>
      </w:r>
      <w:r>
        <w:rPr>
          <w:rFonts w:hint="eastAsia" w:asciiTheme="majorEastAsia" w:hAnsiTheme="majorEastAsia" w:eastAsiaTheme="majorEastAsia" w:cstheme="majorEastAsia"/>
          <w:sz w:val="18"/>
          <w:szCs w:val="18"/>
        </w:rPr>
        <w:t>月</w:t>
      </w:r>
      <w:r>
        <w:rPr>
          <w:rFonts w:hint="eastAsia" w:asciiTheme="majorEastAsia" w:hAnsiTheme="majorEastAsia" w:eastAsiaTheme="majorEastAsia" w:cstheme="majorEastAsia"/>
          <w:sz w:val="18"/>
          <w:szCs w:val="18"/>
          <w:lang w:val="en-US" w:eastAsia="zh-CN"/>
        </w:rPr>
        <w:t>1</w:t>
      </w:r>
      <w:r>
        <w:rPr>
          <w:rFonts w:hint="eastAsia" w:asciiTheme="majorEastAsia" w:hAnsiTheme="majorEastAsia" w:eastAsiaTheme="majorEastAsia" w:cstheme="majorEastAsia"/>
          <w:sz w:val="18"/>
          <w:szCs w:val="18"/>
        </w:rPr>
        <w:t>日</w:t>
      </w:r>
    </w:p>
    <w:p>
      <w:pPr>
        <w:spacing w:line="440" w:lineRule="exact"/>
        <w:jc w:val="left"/>
        <w:rPr>
          <w:rFonts w:hint="eastAsia" w:asciiTheme="majorEastAsia" w:hAnsiTheme="majorEastAsia" w:eastAsiaTheme="majorEastAsia" w:cstheme="majorEastAsia"/>
          <w:sz w:val="30"/>
          <w:szCs w:val="30"/>
          <w:lang w:val="en-US" w:eastAsia="zh-CN"/>
        </w:rPr>
      </w:pPr>
      <w:r>
        <w:rPr>
          <w:rFonts w:hint="eastAsia" w:asciiTheme="majorEastAsia" w:hAnsiTheme="majorEastAsia" w:eastAsiaTheme="majorEastAsia" w:cstheme="majorEastAsia"/>
          <w:sz w:val="30"/>
          <w:szCs w:val="30"/>
        </w:rPr>
        <w:t>附件</w:t>
      </w:r>
      <w:r>
        <w:rPr>
          <w:rFonts w:hint="eastAsia" w:asciiTheme="majorEastAsia" w:hAnsiTheme="majorEastAsia" w:eastAsiaTheme="majorEastAsia" w:cstheme="majorEastAsia"/>
          <w:sz w:val="30"/>
          <w:szCs w:val="30"/>
          <w:lang w:val="en-US" w:eastAsia="zh-CN"/>
        </w:rPr>
        <w:t>5</w:t>
      </w:r>
    </w:p>
    <w:p>
      <w:pPr>
        <w:spacing w:line="440" w:lineRule="exact"/>
        <w:jc w:val="center"/>
        <w:rPr>
          <w:rFonts w:hint="eastAsia" w:ascii="方正小标宋_GBK" w:hAnsi="方正小标宋_GBK" w:eastAsia="方正小标宋_GBK" w:cs="方正小标宋_GBK"/>
          <w:i w:val="0"/>
          <w:iCs w:val="0"/>
          <w:caps w:val="0"/>
          <w:color w:val="333333"/>
          <w:spacing w:val="0"/>
          <w:kern w:val="0"/>
          <w:sz w:val="32"/>
          <w:szCs w:val="32"/>
          <w:lang w:val="en-US" w:eastAsia="zh-CN" w:bidi="ar"/>
        </w:rPr>
      </w:pPr>
      <w:r>
        <w:rPr>
          <w:rFonts w:hint="eastAsia" w:ascii="方正小标宋_GBK" w:hAnsi="方正小标宋_GBK" w:eastAsia="方正小标宋_GBK" w:cs="方正小标宋_GBK"/>
          <w:i w:val="0"/>
          <w:iCs w:val="0"/>
          <w:caps w:val="0"/>
          <w:color w:val="333333"/>
          <w:spacing w:val="0"/>
          <w:kern w:val="0"/>
          <w:sz w:val="32"/>
          <w:szCs w:val="32"/>
          <w:lang w:val="en-US" w:eastAsia="zh-CN" w:bidi="ar"/>
        </w:rPr>
        <w:t>州级预算部门国有资本经营预算支出绩效自评表</w:t>
      </w:r>
    </w:p>
    <w:p>
      <w:pPr>
        <w:spacing w:line="440" w:lineRule="exact"/>
        <w:jc w:val="center"/>
        <w:rPr>
          <w:rFonts w:hint="eastAsia" w:asciiTheme="majorEastAsia" w:hAnsiTheme="majorEastAsia" w:eastAsiaTheme="majorEastAsia" w:cstheme="majorEastAsia"/>
          <w:color w:val="000000"/>
          <w:sz w:val="30"/>
          <w:szCs w:val="30"/>
        </w:rPr>
      </w:pPr>
      <w:r>
        <w:rPr>
          <w:rFonts w:hint="eastAsia" w:asciiTheme="majorEastAsia" w:hAnsiTheme="majorEastAsia" w:eastAsiaTheme="majorEastAsia" w:cstheme="majorEastAsia"/>
          <w:color w:val="000000"/>
          <w:sz w:val="30"/>
          <w:szCs w:val="30"/>
        </w:rPr>
        <w:t xml:space="preserve">（   </w:t>
      </w:r>
      <w:r>
        <w:rPr>
          <w:rFonts w:hint="eastAsia" w:asciiTheme="majorEastAsia" w:hAnsiTheme="majorEastAsia" w:eastAsiaTheme="majorEastAsia" w:cstheme="majorEastAsia"/>
          <w:color w:val="000000"/>
          <w:sz w:val="30"/>
          <w:szCs w:val="30"/>
          <w:lang w:val="en-US" w:eastAsia="zh-CN"/>
        </w:rPr>
        <w:t>2022</w:t>
      </w:r>
      <w:r>
        <w:rPr>
          <w:rFonts w:hint="eastAsia" w:asciiTheme="majorEastAsia" w:hAnsiTheme="majorEastAsia" w:eastAsiaTheme="majorEastAsia" w:cstheme="majorEastAsia"/>
          <w:color w:val="000000"/>
          <w:sz w:val="30"/>
          <w:szCs w:val="30"/>
        </w:rPr>
        <w:t>年度）</w:t>
      </w:r>
    </w:p>
    <w:tbl>
      <w:tblPr>
        <w:tblStyle w:val="10"/>
        <w:tblW w:w="9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1074"/>
        <w:gridCol w:w="1075"/>
        <w:gridCol w:w="1143"/>
        <w:gridCol w:w="1202"/>
        <w:gridCol w:w="1129"/>
        <w:gridCol w:w="824"/>
        <w:gridCol w:w="869"/>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国有资本经营预算支出名称</w:t>
            </w:r>
          </w:p>
        </w:tc>
        <w:tc>
          <w:tcPr>
            <w:tcW w:w="8727" w:type="dxa"/>
            <w:gridSpan w:val="8"/>
            <w:tcBorders>
              <w:top w:val="single" w:color="auto" w:sz="4" w:space="0"/>
              <w:left w:val="nil"/>
              <w:bottom w:val="single" w:color="auto" w:sz="4" w:space="0"/>
              <w:right w:val="single" w:color="auto" w:sz="4" w:space="0"/>
            </w:tcBorders>
            <w:noWrap w:val="0"/>
            <w:vAlign w:val="center"/>
          </w:tcPr>
          <w:p>
            <w:pPr>
              <w:jc w:val="both"/>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lang w:eastAsia="zh-CN"/>
              </w:rPr>
              <w:t>文心路八大仓库经营租赁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主管部门</w:t>
            </w:r>
          </w:p>
        </w:tc>
        <w:tc>
          <w:tcPr>
            <w:tcW w:w="4494" w:type="dxa"/>
            <w:gridSpan w:val="4"/>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kern w:val="2"/>
                <w:sz w:val="18"/>
                <w:szCs w:val="18"/>
                <w:lang w:val="en-US" w:eastAsia="zh-CN" w:bidi="ar-SA"/>
              </w:rPr>
            </w:pPr>
            <w:r>
              <w:rPr>
                <w:rFonts w:hint="eastAsia" w:asciiTheme="majorEastAsia" w:hAnsiTheme="majorEastAsia" w:eastAsiaTheme="majorEastAsia" w:cstheme="majorEastAsia"/>
                <w:color w:val="000000"/>
                <w:sz w:val="18"/>
                <w:szCs w:val="18"/>
              </w:rPr>
              <w:t>　州商务局</w:t>
            </w:r>
          </w:p>
        </w:tc>
        <w:tc>
          <w:tcPr>
            <w:tcW w:w="1129" w:type="dxa"/>
            <w:tcBorders>
              <w:top w:val="single" w:color="auto" w:sz="4" w:space="0"/>
              <w:left w:val="nil"/>
              <w:bottom w:val="single" w:color="auto" w:sz="4" w:space="0"/>
              <w:right w:val="single" w:color="auto" w:sz="4" w:space="0"/>
            </w:tcBorders>
            <w:noWrap w:val="0"/>
            <w:vAlign w:val="center"/>
          </w:tcPr>
          <w:p>
            <w:pPr>
              <w:jc w:val="center"/>
              <w:rPr>
                <w:rFonts w:hint="eastAsia" w:asciiTheme="majorEastAsia" w:hAnsiTheme="majorEastAsia" w:eastAsiaTheme="majorEastAsia" w:cstheme="majorEastAsia"/>
                <w:color w:val="000000"/>
                <w:kern w:val="2"/>
                <w:sz w:val="18"/>
                <w:szCs w:val="18"/>
                <w:lang w:val="en-US" w:eastAsia="zh-CN" w:bidi="ar-SA"/>
              </w:rPr>
            </w:pPr>
            <w:r>
              <w:rPr>
                <w:rFonts w:hint="eastAsia" w:asciiTheme="majorEastAsia" w:hAnsiTheme="majorEastAsia" w:eastAsiaTheme="majorEastAsia" w:cstheme="majorEastAsia"/>
                <w:color w:val="000000"/>
                <w:sz w:val="18"/>
                <w:szCs w:val="18"/>
              </w:rPr>
              <w:t>实施单位</w:t>
            </w:r>
          </w:p>
        </w:tc>
        <w:tc>
          <w:tcPr>
            <w:tcW w:w="3104" w:type="dxa"/>
            <w:gridSpan w:val="3"/>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kern w:val="2"/>
                <w:sz w:val="18"/>
                <w:szCs w:val="18"/>
                <w:lang w:val="en-US" w:eastAsia="zh-CN" w:bidi="ar-SA"/>
              </w:rPr>
            </w:pPr>
            <w:r>
              <w:rPr>
                <w:rFonts w:hint="eastAsia" w:asciiTheme="majorEastAsia" w:hAnsiTheme="majorEastAsia" w:eastAsiaTheme="majorEastAsia" w:cstheme="majorEastAsia"/>
                <w:color w:val="000000"/>
                <w:sz w:val="18"/>
                <w:szCs w:val="18"/>
              </w:rPr>
              <w:t>　州投资贸易促进中心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jc w:val="center"/>
              <w:rPr>
                <w:rFonts w:hint="eastAsia" w:asciiTheme="majorEastAsia" w:hAnsiTheme="majorEastAsia" w:eastAsiaTheme="majorEastAsia" w:cstheme="majorEastAsia"/>
                <w:color w:val="000000"/>
                <w:sz w:val="18"/>
                <w:szCs w:val="18"/>
                <w:lang w:eastAsia="zh-CN"/>
              </w:rPr>
            </w:pPr>
            <w:r>
              <w:rPr>
                <w:rFonts w:hint="eastAsia" w:asciiTheme="majorEastAsia" w:hAnsiTheme="majorEastAsia" w:eastAsiaTheme="majorEastAsia" w:cstheme="majorEastAsia"/>
                <w:color w:val="000000"/>
                <w:sz w:val="18"/>
                <w:szCs w:val="18"/>
              </w:rPr>
              <w:t>项目资金</w:t>
            </w:r>
          </w:p>
          <w:p>
            <w:pPr>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（万元）</w:t>
            </w: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1143" w:type="dxa"/>
            <w:tcBorders>
              <w:top w:val="single" w:color="auto" w:sz="4" w:space="0"/>
              <w:left w:val="nil"/>
              <w:bottom w:val="single" w:color="auto" w:sz="4" w:space="0"/>
              <w:right w:val="single" w:color="auto" w:sz="4" w:space="0"/>
            </w:tcBorders>
            <w:noWrap w:val="0"/>
            <w:vAlign w:val="center"/>
          </w:tcPr>
          <w:p>
            <w:pPr>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年初</w:t>
            </w:r>
          </w:p>
          <w:p>
            <w:pPr>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预算数</w:t>
            </w:r>
          </w:p>
        </w:tc>
        <w:tc>
          <w:tcPr>
            <w:tcW w:w="1202" w:type="dxa"/>
            <w:tcBorders>
              <w:top w:val="single" w:color="auto" w:sz="4" w:space="0"/>
              <w:left w:val="nil"/>
              <w:bottom w:val="single" w:color="auto" w:sz="4" w:space="0"/>
              <w:right w:val="single" w:color="auto" w:sz="4" w:space="0"/>
            </w:tcBorders>
            <w:noWrap w:val="0"/>
            <w:vAlign w:val="center"/>
          </w:tcPr>
          <w:p>
            <w:pPr>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全年</w:t>
            </w:r>
          </w:p>
          <w:p>
            <w:pPr>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预算数</w:t>
            </w:r>
          </w:p>
        </w:tc>
        <w:tc>
          <w:tcPr>
            <w:tcW w:w="1129" w:type="dxa"/>
            <w:tcBorders>
              <w:top w:val="single" w:color="auto" w:sz="4" w:space="0"/>
              <w:left w:val="nil"/>
              <w:bottom w:val="single" w:color="auto" w:sz="4" w:space="0"/>
              <w:right w:val="single" w:color="auto" w:sz="4" w:space="0"/>
            </w:tcBorders>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全年</w:t>
            </w:r>
          </w:p>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执行数</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分值</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执行率</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xml:space="preserve">年度资金总额 </w:t>
            </w: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lang w:val="en-US" w:eastAsia="zh-CN"/>
              </w:rPr>
            </w:pPr>
            <w:r>
              <w:rPr>
                <w:rFonts w:hint="eastAsia" w:asciiTheme="majorEastAsia" w:hAnsiTheme="majorEastAsia" w:eastAsiaTheme="majorEastAsia" w:cstheme="majorEastAsia"/>
                <w:color w:val="000000"/>
                <w:sz w:val="18"/>
                <w:szCs w:val="18"/>
              </w:rPr>
              <w:t>　</w:t>
            </w:r>
            <w:r>
              <w:rPr>
                <w:rFonts w:hint="eastAsia" w:asciiTheme="majorEastAsia" w:hAnsiTheme="majorEastAsia" w:eastAsiaTheme="majorEastAsia" w:cstheme="majorEastAsia"/>
                <w:color w:val="000000"/>
                <w:sz w:val="18"/>
                <w:szCs w:val="18"/>
                <w:lang w:val="en-US" w:eastAsia="zh-CN"/>
              </w:rPr>
              <w:t xml:space="preserve"> 228</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lang w:val="en-US" w:eastAsia="zh-CN"/>
              </w:rPr>
            </w:pPr>
            <w:r>
              <w:rPr>
                <w:rFonts w:hint="eastAsia" w:asciiTheme="majorEastAsia" w:hAnsiTheme="majorEastAsia" w:eastAsiaTheme="majorEastAsia" w:cstheme="majorEastAsia"/>
                <w:color w:val="000000"/>
                <w:sz w:val="18"/>
                <w:szCs w:val="18"/>
              </w:rPr>
              <w:t>　</w:t>
            </w:r>
            <w:r>
              <w:rPr>
                <w:rFonts w:hint="eastAsia" w:asciiTheme="majorEastAsia" w:hAnsiTheme="majorEastAsia" w:eastAsiaTheme="majorEastAsia" w:cstheme="majorEastAsia"/>
                <w:color w:val="000000"/>
                <w:sz w:val="18"/>
                <w:szCs w:val="18"/>
                <w:lang w:val="en-US" w:eastAsia="zh-CN"/>
              </w:rPr>
              <w:t>204.8</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kern w:val="2"/>
                <w:sz w:val="18"/>
                <w:szCs w:val="18"/>
                <w:lang w:val="en-US" w:eastAsia="zh-CN" w:bidi="ar-SA"/>
              </w:rPr>
            </w:pPr>
            <w:r>
              <w:rPr>
                <w:rFonts w:hint="eastAsia" w:asciiTheme="majorEastAsia" w:hAnsiTheme="majorEastAsia" w:eastAsiaTheme="majorEastAsia" w:cstheme="majorEastAsia"/>
                <w:color w:val="000000"/>
                <w:sz w:val="18"/>
                <w:szCs w:val="18"/>
              </w:rPr>
              <w:t>　</w:t>
            </w:r>
            <w:r>
              <w:rPr>
                <w:rFonts w:hint="eastAsia" w:asciiTheme="majorEastAsia" w:hAnsiTheme="majorEastAsia" w:eastAsiaTheme="majorEastAsia" w:cstheme="majorEastAsia"/>
                <w:color w:val="000000"/>
                <w:sz w:val="18"/>
                <w:szCs w:val="18"/>
                <w:lang w:val="en-US" w:eastAsia="zh-CN"/>
              </w:rPr>
              <w:t>181.41</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xml:space="preserve"> 10</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lang w:val="en-US" w:eastAsia="zh-CN"/>
              </w:rPr>
            </w:pPr>
            <w:r>
              <w:rPr>
                <w:rFonts w:hint="eastAsia" w:asciiTheme="majorEastAsia" w:hAnsiTheme="majorEastAsia" w:eastAsiaTheme="majorEastAsia" w:cstheme="majorEastAsia"/>
                <w:color w:val="000000"/>
                <w:sz w:val="18"/>
                <w:szCs w:val="18"/>
                <w:lang w:val="en-US" w:eastAsia="zh-CN"/>
              </w:rPr>
              <w:t>88.60%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lang w:val="en-US" w:eastAsia="zh-CN"/>
              </w:rPr>
            </w:pPr>
            <w:r>
              <w:rPr>
                <w:rFonts w:hint="eastAsia" w:asciiTheme="majorEastAsia" w:hAnsiTheme="majorEastAsia" w:eastAsiaTheme="majorEastAsia" w:cstheme="majorEastAsia"/>
                <w:color w:val="000000"/>
                <w:sz w:val="18"/>
                <w:szCs w:val="18"/>
              </w:rPr>
              <w:t>　</w:t>
            </w:r>
            <w:r>
              <w:rPr>
                <w:rFonts w:hint="eastAsia" w:asciiTheme="majorEastAsia" w:hAnsiTheme="majorEastAsia" w:eastAsiaTheme="majorEastAsia" w:cstheme="majorEastAsia"/>
                <w:color w:val="000000"/>
                <w:sz w:val="18"/>
                <w:szCs w:val="18"/>
                <w:lang w:val="en-US" w:eastAsia="zh-CN"/>
              </w:rPr>
              <w:t xml:space="preserve">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xml:space="preserve">其中：当年财政拨款 </w:t>
            </w: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lang w:val="en-US" w:eastAsia="zh-CN"/>
              </w:rPr>
            </w:pPr>
            <w:r>
              <w:rPr>
                <w:rFonts w:hint="eastAsia" w:asciiTheme="majorEastAsia" w:hAnsiTheme="majorEastAsia" w:eastAsiaTheme="majorEastAsia" w:cstheme="majorEastAsia"/>
                <w:color w:val="000000"/>
                <w:sz w:val="18"/>
                <w:szCs w:val="18"/>
              </w:rPr>
              <w:t>　</w:t>
            </w:r>
            <w:r>
              <w:rPr>
                <w:rFonts w:hint="eastAsia" w:asciiTheme="majorEastAsia" w:hAnsiTheme="majorEastAsia" w:eastAsiaTheme="majorEastAsia" w:cstheme="majorEastAsia"/>
                <w:color w:val="000000"/>
                <w:sz w:val="18"/>
                <w:szCs w:val="18"/>
                <w:lang w:val="en-US" w:eastAsia="zh-CN"/>
              </w:rPr>
              <w:t xml:space="preserve"> 228</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lang w:val="en-US" w:eastAsia="zh-CN"/>
              </w:rPr>
            </w:pPr>
            <w:r>
              <w:rPr>
                <w:rFonts w:hint="eastAsia" w:asciiTheme="majorEastAsia" w:hAnsiTheme="majorEastAsia" w:eastAsiaTheme="majorEastAsia" w:cstheme="majorEastAsia"/>
                <w:color w:val="000000"/>
                <w:sz w:val="18"/>
                <w:szCs w:val="18"/>
              </w:rPr>
              <w:t>　</w:t>
            </w:r>
            <w:r>
              <w:rPr>
                <w:rFonts w:hint="eastAsia" w:asciiTheme="majorEastAsia" w:hAnsiTheme="majorEastAsia" w:eastAsiaTheme="majorEastAsia" w:cstheme="majorEastAsia"/>
                <w:color w:val="000000"/>
                <w:sz w:val="18"/>
                <w:szCs w:val="18"/>
                <w:lang w:val="en-US" w:eastAsia="zh-CN"/>
              </w:rPr>
              <w:t>204.8</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kern w:val="2"/>
                <w:sz w:val="18"/>
                <w:szCs w:val="18"/>
                <w:lang w:val="en-US" w:eastAsia="zh-CN" w:bidi="ar-SA"/>
              </w:rPr>
            </w:pPr>
            <w:r>
              <w:rPr>
                <w:rFonts w:hint="eastAsia" w:asciiTheme="majorEastAsia" w:hAnsiTheme="majorEastAsia" w:eastAsiaTheme="majorEastAsia" w:cstheme="majorEastAsia"/>
                <w:color w:val="000000"/>
                <w:sz w:val="18"/>
                <w:szCs w:val="18"/>
              </w:rPr>
              <w:t>　</w:t>
            </w:r>
            <w:r>
              <w:rPr>
                <w:rFonts w:hint="eastAsia" w:asciiTheme="majorEastAsia" w:hAnsiTheme="majorEastAsia" w:eastAsiaTheme="majorEastAsia" w:cstheme="majorEastAsia"/>
                <w:color w:val="000000"/>
                <w:sz w:val="18"/>
                <w:szCs w:val="18"/>
                <w:lang w:val="en-US" w:eastAsia="zh-CN"/>
              </w:rPr>
              <w:t>181.41</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sz w:val="18"/>
                <w:szCs w:val="18"/>
              </w:rPr>
              <w:t>——</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sz w:val="18"/>
                <w:szCs w:val="18"/>
              </w:rPr>
              <w:t>——</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2149" w:type="dxa"/>
            <w:gridSpan w:val="2"/>
            <w:tcBorders>
              <w:top w:val="single" w:color="auto" w:sz="4" w:space="0"/>
              <w:left w:val="nil"/>
              <w:bottom w:val="single" w:color="auto" w:sz="4" w:space="0"/>
              <w:right w:val="single" w:color="auto" w:sz="4" w:space="0"/>
            </w:tcBorders>
            <w:noWrap w:val="0"/>
            <w:vAlign w:val="center"/>
          </w:tcPr>
          <w:p>
            <w:pPr>
              <w:ind w:firstLine="540" w:firstLineChars="300"/>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xml:space="preserve">上年结转资金 </w:t>
            </w:r>
          </w:p>
        </w:tc>
        <w:tc>
          <w:tcPr>
            <w:tcW w:w="1143" w:type="dxa"/>
            <w:tcBorders>
              <w:top w:val="single" w:color="auto" w:sz="4" w:space="0"/>
              <w:left w:val="nil"/>
              <w:bottom w:val="single" w:color="auto" w:sz="4" w:space="0"/>
              <w:right w:val="single" w:color="auto" w:sz="4" w:space="0"/>
            </w:tcBorders>
            <w:noWrap w:val="0"/>
            <w:vAlign w:val="center"/>
          </w:tcPr>
          <w:p>
            <w:pPr>
              <w:ind w:firstLine="180" w:firstLineChars="100"/>
              <w:jc w:val="left"/>
              <w:rPr>
                <w:rFonts w:hint="eastAsia" w:asciiTheme="majorEastAsia" w:hAnsiTheme="majorEastAsia" w:eastAsiaTheme="majorEastAsia" w:cstheme="majorEastAsia"/>
                <w:color w:val="000000"/>
                <w:sz w:val="18"/>
                <w:szCs w:val="18"/>
                <w:lang w:val="en-US" w:eastAsia="zh-CN"/>
              </w:rPr>
            </w:pP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lang w:val="en-US" w:eastAsia="zh-CN"/>
              </w:rPr>
            </w:pPr>
          </w:p>
        </w:tc>
        <w:tc>
          <w:tcPr>
            <w:tcW w:w="1129" w:type="dxa"/>
            <w:tcBorders>
              <w:top w:val="single" w:color="auto" w:sz="4" w:space="0"/>
              <w:left w:val="nil"/>
              <w:bottom w:val="single" w:color="auto" w:sz="4" w:space="0"/>
              <w:right w:val="single" w:color="auto" w:sz="4" w:space="0"/>
            </w:tcBorders>
            <w:noWrap w:val="0"/>
            <w:vAlign w:val="center"/>
          </w:tcPr>
          <w:p>
            <w:pPr>
              <w:ind w:firstLine="180" w:firstLineChars="100"/>
              <w:jc w:val="left"/>
              <w:rPr>
                <w:rFonts w:hint="eastAsia" w:asciiTheme="majorEastAsia" w:hAnsiTheme="majorEastAsia" w:eastAsiaTheme="majorEastAsia" w:cstheme="majorEastAsia"/>
                <w:color w:val="000000"/>
                <w:kern w:val="2"/>
                <w:sz w:val="18"/>
                <w:szCs w:val="18"/>
                <w:lang w:val="en-US" w:eastAsia="zh-CN" w:bidi="ar-SA"/>
              </w:rPr>
            </w:pP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sz w:val="18"/>
                <w:szCs w:val="18"/>
              </w:rPr>
              <w:t>——</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sz w:val="18"/>
                <w:szCs w:val="18"/>
              </w:rPr>
              <w:t>——</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2149" w:type="dxa"/>
            <w:gridSpan w:val="2"/>
            <w:tcBorders>
              <w:top w:val="single" w:color="auto" w:sz="4" w:space="0"/>
              <w:left w:val="nil"/>
              <w:bottom w:val="single" w:color="auto" w:sz="4" w:space="0"/>
              <w:right w:val="single" w:color="auto" w:sz="4" w:space="0"/>
            </w:tcBorders>
            <w:noWrap w:val="0"/>
            <w:vAlign w:val="center"/>
          </w:tcPr>
          <w:p>
            <w:pPr>
              <w:ind w:firstLine="540" w:firstLineChars="300"/>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其他资金</w:t>
            </w: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sz w:val="18"/>
                <w:szCs w:val="18"/>
              </w:rPr>
              <w:t>——</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sz w:val="18"/>
                <w:szCs w:val="18"/>
              </w:rPr>
              <w:t>——</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年度总体目标</w:t>
            </w:r>
          </w:p>
        </w:tc>
        <w:tc>
          <w:tcPr>
            <w:tcW w:w="4494" w:type="dxa"/>
            <w:gridSpan w:val="4"/>
            <w:tcBorders>
              <w:top w:val="single" w:color="auto" w:sz="4" w:space="0"/>
              <w:left w:val="nil"/>
              <w:bottom w:val="single" w:color="auto" w:sz="4" w:space="0"/>
              <w:right w:val="single" w:color="auto" w:sz="4" w:space="0"/>
            </w:tcBorders>
            <w:noWrap w:val="0"/>
            <w:vAlign w:val="center"/>
          </w:tcPr>
          <w:p>
            <w:pPr>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预期目标</w:t>
            </w:r>
          </w:p>
        </w:tc>
        <w:tc>
          <w:tcPr>
            <w:tcW w:w="4233" w:type="dxa"/>
            <w:gridSpan w:val="4"/>
            <w:tcBorders>
              <w:top w:val="single" w:color="auto" w:sz="4" w:space="0"/>
              <w:left w:val="nil"/>
              <w:bottom w:val="single" w:color="auto" w:sz="4" w:space="0"/>
              <w:right w:val="single" w:color="auto" w:sz="4" w:space="0"/>
            </w:tcBorders>
            <w:noWrap w:val="0"/>
            <w:vAlign w:val="center"/>
          </w:tcPr>
          <w:p>
            <w:pPr>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xml:space="preserve">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6"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4494" w:type="dxa"/>
            <w:gridSpan w:val="4"/>
            <w:tcBorders>
              <w:top w:val="single" w:color="auto" w:sz="4" w:space="0"/>
              <w:left w:val="nil"/>
              <w:bottom w:val="single" w:color="auto" w:sz="4" w:space="0"/>
              <w:right w:val="single" w:color="auto" w:sz="4" w:space="0"/>
            </w:tcBorders>
            <w:noWrap w:val="0"/>
            <w:vAlign w:val="center"/>
          </w:tcPr>
          <w:p>
            <w:pPr>
              <w:autoSpaceDN w:val="0"/>
              <w:spacing w:line="320" w:lineRule="exact"/>
              <w:ind w:firstLine="360" w:firstLineChars="200"/>
              <w:textAlignment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sz w:val="18"/>
                <w:szCs w:val="18"/>
                <w:lang w:val="en-US" w:eastAsia="zh-CN"/>
              </w:rPr>
              <w:t xml:space="preserve">   </w:t>
            </w:r>
            <w:r>
              <w:rPr>
                <w:rFonts w:hint="eastAsia" w:asciiTheme="majorEastAsia" w:hAnsiTheme="majorEastAsia" w:eastAsiaTheme="majorEastAsia" w:cstheme="majorEastAsia"/>
                <w:sz w:val="18"/>
                <w:szCs w:val="18"/>
              </w:rPr>
              <w:t>按照州委、州政府、州商务局的要求，对八大仓库坚持“两手抓“，一手抓安全，一手抓租赁，做到不闲置资产，确保发挥资产的最大效益。在租赁上抓好招商招租工作，为业主做好相关服务，排忧解难，确保仓储收入的稳定。</w:t>
            </w:r>
            <w:r>
              <w:rPr>
                <w:rFonts w:hint="eastAsia" w:asciiTheme="majorEastAsia" w:hAnsiTheme="majorEastAsia" w:eastAsiaTheme="majorEastAsia" w:cstheme="majorEastAsia"/>
                <w:i w:val="0"/>
                <w:caps w:val="0"/>
                <w:color w:val="000000"/>
                <w:spacing w:val="0"/>
                <w:kern w:val="0"/>
                <w:sz w:val="18"/>
                <w:szCs w:val="18"/>
                <w:shd w:val="clear" w:fill="FFFFFF"/>
                <w:lang w:val="en-US" w:eastAsia="zh-CN" w:bidi="ar"/>
              </w:rPr>
              <w:t>根据《关于印发&lt;贯彻落实扎实稳住经济一揽子政策措施实施方案&gt;的通知》（州政发[2022]6号）文件要求，“对州内服务业小微企业和个体工商户承租国有房屋减免6个月的租金”的规定，我中心对八大仓库承租户调查摸底，经州机关事务管理局审核批复，符合减免租金政策的小微企业和个体工商户共有30家，按政策应予减免租金计121.49万元</w:t>
            </w:r>
            <w:r>
              <w:rPr>
                <w:rFonts w:hint="eastAsia" w:asciiTheme="majorEastAsia" w:hAnsiTheme="majorEastAsia" w:eastAsiaTheme="majorEastAsia" w:cstheme="majorEastAsia"/>
                <w:color w:val="000000"/>
                <w:kern w:val="0"/>
                <w:sz w:val="18"/>
                <w:szCs w:val="18"/>
              </w:rPr>
              <w:t>。</w:t>
            </w:r>
            <w:r>
              <w:rPr>
                <w:rFonts w:hint="eastAsia" w:asciiTheme="majorEastAsia" w:hAnsiTheme="majorEastAsia" w:eastAsiaTheme="majorEastAsia" w:cstheme="majorEastAsia"/>
                <w:sz w:val="18"/>
                <w:szCs w:val="18"/>
              </w:rPr>
              <w:t>因新冠疫情政府对中小企业、个体工商户的减租政策影响，我单位将202</w:t>
            </w:r>
            <w:r>
              <w:rPr>
                <w:rFonts w:hint="eastAsia" w:asciiTheme="majorEastAsia" w:hAnsiTheme="majorEastAsia" w:eastAsiaTheme="majorEastAsia" w:cstheme="majorEastAsia"/>
                <w:sz w:val="18"/>
                <w:szCs w:val="18"/>
                <w:lang w:val="en"/>
              </w:rPr>
              <w:t>2</w:t>
            </w:r>
            <w:r>
              <w:rPr>
                <w:rFonts w:hint="eastAsia" w:asciiTheme="majorEastAsia" w:hAnsiTheme="majorEastAsia" w:eastAsiaTheme="majorEastAsia" w:cstheme="majorEastAsia"/>
                <w:sz w:val="18"/>
                <w:szCs w:val="18"/>
              </w:rPr>
              <w:t>年资产租赁收入预算调整为2</w:t>
            </w:r>
            <w:r>
              <w:rPr>
                <w:rFonts w:hint="eastAsia" w:asciiTheme="majorEastAsia" w:hAnsiTheme="majorEastAsia" w:eastAsiaTheme="majorEastAsia" w:cstheme="majorEastAsia"/>
                <w:sz w:val="18"/>
                <w:szCs w:val="18"/>
                <w:lang w:val="en"/>
              </w:rPr>
              <w:t>56</w:t>
            </w:r>
            <w:r>
              <w:rPr>
                <w:rFonts w:hint="eastAsia" w:asciiTheme="majorEastAsia" w:hAnsiTheme="majorEastAsia" w:eastAsiaTheme="majorEastAsia" w:cstheme="majorEastAsia"/>
                <w:sz w:val="18"/>
                <w:szCs w:val="18"/>
              </w:rPr>
              <w:t>万元。</w:t>
            </w:r>
          </w:p>
        </w:tc>
        <w:tc>
          <w:tcPr>
            <w:tcW w:w="4233" w:type="dxa"/>
            <w:gridSpan w:val="4"/>
            <w:tcBorders>
              <w:top w:val="single" w:color="auto" w:sz="4" w:space="0"/>
              <w:left w:val="nil"/>
              <w:bottom w:val="single" w:color="auto" w:sz="4" w:space="0"/>
              <w:right w:val="single" w:color="auto" w:sz="4" w:space="0"/>
            </w:tcBorders>
            <w:noWrap w:val="0"/>
            <w:vAlign w:val="top"/>
          </w:tcPr>
          <w:p>
            <w:pPr>
              <w:ind w:firstLine="360" w:firstLineChars="200"/>
              <w:jc w:val="both"/>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sz w:val="18"/>
                <w:szCs w:val="18"/>
              </w:rPr>
              <w:t>做好了</w:t>
            </w:r>
            <w:r>
              <w:rPr>
                <w:rFonts w:hint="eastAsia" w:asciiTheme="majorEastAsia" w:hAnsiTheme="majorEastAsia" w:eastAsiaTheme="majorEastAsia" w:cstheme="majorEastAsia"/>
                <w:sz w:val="18"/>
                <w:szCs w:val="18"/>
                <w:lang w:eastAsia="zh-CN"/>
              </w:rPr>
              <w:t>八大</w:t>
            </w:r>
            <w:r>
              <w:rPr>
                <w:rFonts w:hint="eastAsia" w:asciiTheme="majorEastAsia" w:hAnsiTheme="majorEastAsia" w:eastAsiaTheme="majorEastAsia" w:cstheme="majorEastAsia"/>
                <w:sz w:val="18"/>
                <w:szCs w:val="18"/>
              </w:rPr>
              <w:t>仓库资产管理，抓好了安全工作，全年没有发生一起安全事故，抓好了租赁工作，使资产的利用率和效益实现最大化，完成了全年资产租赁收入2</w:t>
            </w:r>
            <w:r>
              <w:rPr>
                <w:rFonts w:hint="eastAsia" w:asciiTheme="majorEastAsia" w:hAnsiTheme="majorEastAsia" w:eastAsiaTheme="majorEastAsia" w:cstheme="majorEastAsia"/>
                <w:sz w:val="18"/>
                <w:szCs w:val="18"/>
                <w:lang w:val="en-US" w:eastAsia="zh-CN"/>
              </w:rPr>
              <w:t>56</w:t>
            </w:r>
            <w:r>
              <w:rPr>
                <w:rFonts w:hint="eastAsia" w:asciiTheme="majorEastAsia" w:hAnsiTheme="majorEastAsia" w:eastAsiaTheme="majorEastAsia" w:cstheme="majorEastAsia"/>
                <w:sz w:val="18"/>
                <w:szCs w:val="18"/>
              </w:rPr>
              <w:t>万元的目标，已上缴财政局非税收入专户。新冠肺炎疫情</w:t>
            </w:r>
            <w:r>
              <w:rPr>
                <w:rFonts w:hint="eastAsia" w:asciiTheme="majorEastAsia" w:hAnsiTheme="majorEastAsia" w:eastAsiaTheme="majorEastAsia" w:cstheme="majorEastAsia"/>
                <w:color w:val="000000"/>
                <w:kern w:val="0"/>
                <w:sz w:val="18"/>
                <w:szCs w:val="18"/>
              </w:rPr>
              <w:t>我中心租金减免企业及个体工商户共3</w:t>
            </w:r>
            <w:r>
              <w:rPr>
                <w:rFonts w:hint="eastAsia" w:asciiTheme="majorEastAsia" w:hAnsiTheme="majorEastAsia" w:eastAsiaTheme="majorEastAsia" w:cstheme="majorEastAsia"/>
                <w:color w:val="000000"/>
                <w:kern w:val="0"/>
                <w:sz w:val="18"/>
                <w:szCs w:val="18"/>
                <w:lang w:val="en-US" w:eastAsia="zh-CN"/>
              </w:rPr>
              <w:t>0</w:t>
            </w:r>
            <w:r>
              <w:rPr>
                <w:rFonts w:hint="eastAsia" w:asciiTheme="majorEastAsia" w:hAnsiTheme="majorEastAsia" w:eastAsiaTheme="majorEastAsia" w:cstheme="majorEastAsia"/>
                <w:color w:val="000000"/>
                <w:kern w:val="0"/>
                <w:sz w:val="18"/>
                <w:szCs w:val="18"/>
              </w:rPr>
              <w:t>家，共计减免租金1</w:t>
            </w:r>
            <w:r>
              <w:rPr>
                <w:rFonts w:hint="eastAsia" w:asciiTheme="majorEastAsia" w:hAnsiTheme="majorEastAsia" w:eastAsiaTheme="majorEastAsia" w:cstheme="majorEastAsia"/>
                <w:color w:val="000000"/>
                <w:kern w:val="0"/>
                <w:sz w:val="18"/>
                <w:szCs w:val="18"/>
                <w:lang w:val="en-US" w:eastAsia="zh-CN"/>
              </w:rPr>
              <w:t>21.49</w:t>
            </w:r>
            <w:r>
              <w:rPr>
                <w:rFonts w:hint="eastAsia" w:asciiTheme="majorEastAsia" w:hAnsiTheme="majorEastAsia" w:eastAsiaTheme="majorEastAsia" w:cstheme="majorEastAsia"/>
                <w:color w:val="000000"/>
                <w:kern w:val="0"/>
                <w:sz w:val="18"/>
                <w:szCs w:val="18"/>
              </w:rPr>
              <w:t>万元。租金减免政策，使企业得到复工复产，个体工商户得到恢复经营。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绩</w:t>
            </w:r>
          </w:p>
          <w:p>
            <w:pPr>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效</w:t>
            </w:r>
          </w:p>
          <w:p>
            <w:pPr>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指</w:t>
            </w:r>
          </w:p>
          <w:p>
            <w:pPr>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标</w:t>
            </w:r>
          </w:p>
        </w:tc>
        <w:tc>
          <w:tcPr>
            <w:tcW w:w="107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一级指标</w:t>
            </w:r>
          </w:p>
        </w:tc>
        <w:tc>
          <w:tcPr>
            <w:tcW w:w="107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二级指标</w:t>
            </w:r>
          </w:p>
        </w:tc>
        <w:tc>
          <w:tcPr>
            <w:tcW w:w="1143"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三级指标</w:t>
            </w:r>
          </w:p>
        </w:tc>
        <w:tc>
          <w:tcPr>
            <w:tcW w:w="1202"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年度</w:t>
            </w:r>
          </w:p>
          <w:p>
            <w:pPr>
              <w:spacing w:line="240" w:lineRule="exact"/>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指标值</w:t>
            </w:r>
          </w:p>
        </w:tc>
        <w:tc>
          <w:tcPr>
            <w:tcW w:w="112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实际</w:t>
            </w:r>
          </w:p>
          <w:p>
            <w:pPr>
              <w:spacing w:line="240" w:lineRule="exact"/>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完成值</w:t>
            </w:r>
          </w:p>
        </w:tc>
        <w:tc>
          <w:tcPr>
            <w:tcW w:w="82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分值</w:t>
            </w:r>
          </w:p>
        </w:tc>
        <w:tc>
          <w:tcPr>
            <w:tcW w:w="86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得分</w:t>
            </w:r>
          </w:p>
        </w:tc>
        <w:tc>
          <w:tcPr>
            <w:tcW w:w="1411"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偏差原因</w:t>
            </w:r>
          </w:p>
          <w:p>
            <w:pPr>
              <w:spacing w:line="240" w:lineRule="exact"/>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分析及</w:t>
            </w:r>
          </w:p>
          <w:p>
            <w:pPr>
              <w:spacing w:line="240" w:lineRule="exact"/>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1074" w:type="dxa"/>
            <w:vMerge w:val="restart"/>
            <w:tcBorders>
              <w:top w:val="nil"/>
              <w:left w:val="nil"/>
              <w:bottom w:val="single" w:color="auto" w:sz="4" w:space="0"/>
              <w:right w:val="single" w:color="auto" w:sz="4" w:space="0"/>
            </w:tcBorders>
            <w:noWrap w:val="0"/>
            <w:vAlign w:val="center"/>
          </w:tcPr>
          <w:p>
            <w:pPr>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产出指标</w:t>
            </w:r>
          </w:p>
          <w:p>
            <w:pPr>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(50分)</w:t>
            </w:r>
          </w:p>
        </w:tc>
        <w:tc>
          <w:tcPr>
            <w:tcW w:w="1075" w:type="dxa"/>
            <w:vMerge w:val="restart"/>
            <w:tcBorders>
              <w:top w:val="nil"/>
              <w:left w:val="nil"/>
              <w:bottom w:val="single" w:color="auto" w:sz="4" w:space="0"/>
              <w:right w:val="single" w:color="auto" w:sz="4" w:space="0"/>
            </w:tcBorders>
            <w:noWrap w:val="0"/>
            <w:vAlign w:val="center"/>
          </w:tcPr>
          <w:p>
            <w:pPr>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数量指标</w:t>
            </w:r>
          </w:p>
        </w:tc>
        <w:tc>
          <w:tcPr>
            <w:tcW w:w="1143" w:type="dxa"/>
            <w:tcBorders>
              <w:top w:val="single" w:color="auto" w:sz="4" w:space="0"/>
              <w:left w:val="nil"/>
              <w:bottom w:val="single" w:color="auto" w:sz="4" w:space="0"/>
              <w:right w:val="single" w:color="auto" w:sz="4" w:space="0"/>
            </w:tcBorders>
            <w:noWrap w:val="0"/>
            <w:vAlign w:val="center"/>
          </w:tcPr>
          <w:p>
            <w:pPr>
              <w:spacing w:line="260" w:lineRule="exact"/>
              <w:rPr>
                <w:rFonts w:hint="eastAsia" w:asciiTheme="majorEastAsia" w:hAnsiTheme="majorEastAsia" w:eastAsiaTheme="majorEastAsia" w:cstheme="majorEastAsia"/>
                <w:color w:val="000000"/>
                <w:kern w:val="2"/>
                <w:sz w:val="18"/>
                <w:szCs w:val="18"/>
                <w:lang w:val="en-US" w:eastAsia="zh-CN" w:bidi="ar-SA"/>
              </w:rPr>
            </w:pPr>
            <w:r>
              <w:rPr>
                <w:rFonts w:hint="eastAsia" w:asciiTheme="majorEastAsia" w:hAnsiTheme="majorEastAsia" w:eastAsiaTheme="majorEastAsia" w:cstheme="majorEastAsia"/>
                <w:sz w:val="18"/>
                <w:szCs w:val="18"/>
              </w:rPr>
              <w:t>非税收入</w:t>
            </w:r>
          </w:p>
        </w:tc>
        <w:tc>
          <w:tcPr>
            <w:tcW w:w="1202" w:type="dxa"/>
            <w:tcBorders>
              <w:top w:val="single" w:color="auto" w:sz="4" w:space="0"/>
              <w:left w:val="nil"/>
              <w:bottom w:val="single" w:color="auto" w:sz="4" w:space="0"/>
              <w:right w:val="single" w:color="auto" w:sz="4" w:space="0"/>
            </w:tcBorders>
            <w:noWrap w:val="0"/>
            <w:vAlign w:val="center"/>
          </w:tcPr>
          <w:p>
            <w:pPr>
              <w:spacing w:line="260" w:lineRule="exact"/>
              <w:rPr>
                <w:rFonts w:hint="eastAsia" w:asciiTheme="majorEastAsia" w:hAnsiTheme="majorEastAsia" w:eastAsiaTheme="majorEastAsia" w:cstheme="majorEastAsia"/>
                <w:color w:val="000000"/>
                <w:kern w:val="2"/>
                <w:sz w:val="18"/>
                <w:szCs w:val="18"/>
                <w:lang w:val="en-US" w:eastAsia="zh-CN" w:bidi="ar-SA"/>
              </w:rPr>
            </w:pPr>
            <w:r>
              <w:rPr>
                <w:rFonts w:hint="eastAsia" w:asciiTheme="majorEastAsia" w:hAnsiTheme="majorEastAsia" w:eastAsiaTheme="majorEastAsia" w:cstheme="majorEastAsia"/>
                <w:color w:val="000000"/>
                <w:sz w:val="18"/>
                <w:szCs w:val="18"/>
              </w:rPr>
              <w:t>2</w:t>
            </w:r>
            <w:r>
              <w:rPr>
                <w:rFonts w:hint="eastAsia" w:asciiTheme="majorEastAsia" w:hAnsiTheme="majorEastAsia" w:eastAsiaTheme="majorEastAsia" w:cstheme="majorEastAsia"/>
                <w:color w:val="000000"/>
                <w:sz w:val="18"/>
                <w:szCs w:val="18"/>
                <w:lang w:val="en-US" w:eastAsia="zh-CN"/>
              </w:rPr>
              <w:t>56</w:t>
            </w:r>
            <w:r>
              <w:rPr>
                <w:rFonts w:hint="eastAsia" w:asciiTheme="majorEastAsia" w:hAnsiTheme="majorEastAsia" w:eastAsiaTheme="majorEastAsia" w:cstheme="majorEastAsia"/>
                <w:color w:val="000000"/>
                <w:sz w:val="18"/>
                <w:szCs w:val="18"/>
              </w:rPr>
              <w:t>万元</w:t>
            </w:r>
          </w:p>
        </w:tc>
        <w:tc>
          <w:tcPr>
            <w:tcW w:w="1129" w:type="dxa"/>
            <w:tcBorders>
              <w:top w:val="single" w:color="auto" w:sz="4" w:space="0"/>
              <w:left w:val="nil"/>
              <w:bottom w:val="single" w:color="auto" w:sz="4" w:space="0"/>
              <w:right w:val="single" w:color="auto" w:sz="4" w:space="0"/>
            </w:tcBorders>
            <w:noWrap w:val="0"/>
            <w:vAlign w:val="center"/>
          </w:tcPr>
          <w:p>
            <w:pPr>
              <w:spacing w:line="260" w:lineRule="exact"/>
              <w:rPr>
                <w:rFonts w:hint="eastAsia" w:asciiTheme="majorEastAsia" w:hAnsiTheme="majorEastAsia" w:eastAsiaTheme="majorEastAsia" w:cstheme="majorEastAsia"/>
                <w:color w:val="000000"/>
                <w:kern w:val="2"/>
                <w:sz w:val="18"/>
                <w:szCs w:val="18"/>
                <w:lang w:val="en-US" w:eastAsia="zh-CN" w:bidi="ar-SA"/>
              </w:rPr>
            </w:pPr>
            <w:r>
              <w:rPr>
                <w:rFonts w:hint="eastAsia" w:asciiTheme="majorEastAsia" w:hAnsiTheme="majorEastAsia" w:eastAsiaTheme="majorEastAsia" w:cstheme="majorEastAsia"/>
                <w:color w:val="000000"/>
                <w:sz w:val="18"/>
                <w:szCs w:val="18"/>
              </w:rPr>
              <w:t>2</w:t>
            </w:r>
            <w:r>
              <w:rPr>
                <w:rFonts w:hint="eastAsia" w:asciiTheme="majorEastAsia" w:hAnsiTheme="majorEastAsia" w:eastAsiaTheme="majorEastAsia" w:cstheme="majorEastAsia"/>
                <w:color w:val="000000"/>
                <w:sz w:val="18"/>
                <w:szCs w:val="18"/>
                <w:lang w:val="en-US" w:eastAsia="zh-CN"/>
              </w:rPr>
              <w:t>56</w:t>
            </w:r>
            <w:r>
              <w:rPr>
                <w:rFonts w:hint="eastAsia" w:asciiTheme="majorEastAsia" w:hAnsiTheme="majorEastAsia" w:eastAsiaTheme="majorEastAsia" w:cstheme="majorEastAsia"/>
                <w:color w:val="000000"/>
                <w:sz w:val="18"/>
                <w:szCs w:val="18"/>
              </w:rPr>
              <w:t>万元</w:t>
            </w:r>
          </w:p>
        </w:tc>
        <w:tc>
          <w:tcPr>
            <w:tcW w:w="824"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eastAsia" w:asciiTheme="majorEastAsia" w:hAnsiTheme="majorEastAsia" w:eastAsiaTheme="majorEastAsia" w:cstheme="majorEastAsia"/>
                <w:color w:val="000000"/>
                <w:kern w:val="2"/>
                <w:sz w:val="18"/>
                <w:szCs w:val="18"/>
                <w:lang w:val="en-US" w:eastAsia="zh-CN" w:bidi="ar-SA"/>
              </w:rPr>
            </w:pPr>
            <w:r>
              <w:rPr>
                <w:rFonts w:hint="eastAsia" w:asciiTheme="majorEastAsia" w:hAnsiTheme="majorEastAsia" w:eastAsiaTheme="majorEastAsia" w:cstheme="majorEastAsia"/>
                <w:color w:val="000000"/>
                <w:sz w:val="18"/>
                <w:szCs w:val="18"/>
                <w:lang w:val="en-US" w:eastAsia="zh-CN"/>
              </w:rPr>
              <w:t>20</w:t>
            </w:r>
          </w:p>
        </w:tc>
        <w:tc>
          <w:tcPr>
            <w:tcW w:w="869"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eastAsia" w:asciiTheme="majorEastAsia" w:hAnsiTheme="majorEastAsia" w:eastAsiaTheme="majorEastAsia" w:cstheme="majorEastAsia"/>
                <w:color w:val="000000"/>
                <w:kern w:val="2"/>
                <w:sz w:val="18"/>
                <w:szCs w:val="18"/>
                <w:lang w:val="en-US" w:eastAsia="zh-CN" w:bidi="ar-SA"/>
              </w:rPr>
            </w:pPr>
            <w:r>
              <w:rPr>
                <w:rFonts w:hint="eastAsia" w:asciiTheme="majorEastAsia" w:hAnsiTheme="majorEastAsia" w:eastAsiaTheme="majorEastAsia" w:cstheme="majorEastAsia"/>
                <w:color w:val="000000"/>
                <w:sz w:val="18"/>
                <w:szCs w:val="18"/>
                <w:lang w:val="en-US" w:eastAsia="zh-CN"/>
              </w:rPr>
              <w:t>20</w:t>
            </w:r>
          </w:p>
        </w:tc>
        <w:tc>
          <w:tcPr>
            <w:tcW w:w="1411" w:type="dxa"/>
            <w:tcBorders>
              <w:top w:val="single" w:color="auto" w:sz="4" w:space="0"/>
              <w:left w:val="nil"/>
              <w:bottom w:val="single" w:color="auto" w:sz="4" w:space="0"/>
              <w:right w:val="single" w:color="auto" w:sz="4" w:space="0"/>
            </w:tcBorders>
            <w:noWrap w:val="0"/>
            <w:vAlign w:val="center"/>
          </w:tcPr>
          <w:p>
            <w:pPr>
              <w:spacing w:line="260" w:lineRule="exact"/>
              <w:rPr>
                <w:rFonts w:hint="eastAsia" w:asciiTheme="majorEastAsia" w:hAnsiTheme="majorEastAsia" w:eastAsiaTheme="majorEastAsia" w:cstheme="majorEastAsia"/>
                <w:color w:val="000000"/>
                <w:kern w:val="2"/>
                <w:sz w:val="18"/>
                <w:szCs w:val="18"/>
                <w:lang w:val="en-US" w:eastAsia="zh-CN" w:bidi="ar-SA"/>
              </w:rPr>
            </w:pPr>
            <w:r>
              <w:rPr>
                <w:rFonts w:hint="eastAsia" w:asciiTheme="majorEastAsia" w:hAnsiTheme="majorEastAsia" w:eastAsiaTheme="majorEastAsia" w:cstheme="major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1075" w:type="dxa"/>
            <w:vMerge w:val="continue"/>
            <w:tcBorders>
              <w:top w:val="nil"/>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1143" w:type="dxa"/>
            <w:tcBorders>
              <w:top w:val="single" w:color="auto" w:sz="4" w:space="0"/>
              <w:left w:val="nil"/>
              <w:bottom w:val="single" w:color="auto" w:sz="4" w:space="0"/>
              <w:right w:val="single" w:color="auto" w:sz="4" w:space="0"/>
            </w:tcBorders>
            <w:noWrap w:val="0"/>
            <w:vAlign w:val="center"/>
          </w:tcPr>
          <w:p>
            <w:pPr>
              <w:spacing w:line="260" w:lineRule="exact"/>
              <w:rPr>
                <w:rFonts w:hint="eastAsia" w:asciiTheme="majorEastAsia" w:hAnsiTheme="majorEastAsia" w:eastAsiaTheme="majorEastAsia" w:cstheme="majorEastAsia"/>
                <w:kern w:val="2"/>
                <w:sz w:val="18"/>
                <w:szCs w:val="18"/>
                <w:lang w:val="en-US" w:eastAsia="zh-CN" w:bidi="ar-SA"/>
              </w:rPr>
            </w:pPr>
            <w:r>
              <w:rPr>
                <w:rFonts w:hint="eastAsia" w:asciiTheme="majorEastAsia" w:hAnsiTheme="majorEastAsia" w:eastAsiaTheme="majorEastAsia" w:cstheme="majorEastAsia"/>
                <w:bCs/>
                <w:color w:val="000000"/>
                <w:kern w:val="0"/>
                <w:sz w:val="18"/>
                <w:szCs w:val="18"/>
              </w:rPr>
              <w:t>中小企业租金减免金额</w:t>
            </w:r>
          </w:p>
        </w:tc>
        <w:tc>
          <w:tcPr>
            <w:tcW w:w="1202" w:type="dxa"/>
            <w:tcBorders>
              <w:top w:val="single" w:color="auto" w:sz="4" w:space="0"/>
              <w:left w:val="nil"/>
              <w:bottom w:val="single" w:color="auto" w:sz="4" w:space="0"/>
              <w:right w:val="single" w:color="auto" w:sz="4" w:space="0"/>
            </w:tcBorders>
            <w:noWrap w:val="0"/>
            <w:vAlign w:val="center"/>
          </w:tcPr>
          <w:p>
            <w:pPr>
              <w:spacing w:line="260" w:lineRule="exact"/>
              <w:rPr>
                <w:rFonts w:hint="eastAsia" w:asciiTheme="majorEastAsia" w:hAnsiTheme="majorEastAsia" w:eastAsiaTheme="majorEastAsia" w:cstheme="majorEastAsia"/>
                <w:color w:val="000000"/>
                <w:kern w:val="2"/>
                <w:sz w:val="18"/>
                <w:szCs w:val="18"/>
                <w:lang w:val="en-US" w:eastAsia="zh-CN" w:bidi="ar-SA"/>
              </w:rPr>
            </w:pPr>
            <w:r>
              <w:rPr>
                <w:rFonts w:hint="eastAsia" w:asciiTheme="majorEastAsia" w:hAnsiTheme="majorEastAsia" w:eastAsiaTheme="majorEastAsia" w:cstheme="majorEastAsia"/>
                <w:bCs/>
                <w:color w:val="000000"/>
                <w:kern w:val="0"/>
                <w:sz w:val="18"/>
                <w:szCs w:val="18"/>
              </w:rPr>
              <w:t>1</w:t>
            </w:r>
            <w:r>
              <w:rPr>
                <w:rFonts w:hint="eastAsia" w:asciiTheme="majorEastAsia" w:hAnsiTheme="majorEastAsia" w:eastAsiaTheme="majorEastAsia" w:cstheme="majorEastAsia"/>
                <w:bCs/>
                <w:color w:val="000000"/>
                <w:kern w:val="0"/>
                <w:sz w:val="18"/>
                <w:szCs w:val="18"/>
                <w:lang w:val="en-US" w:eastAsia="zh-CN"/>
              </w:rPr>
              <w:t>21.49</w:t>
            </w:r>
            <w:r>
              <w:rPr>
                <w:rFonts w:hint="eastAsia" w:asciiTheme="majorEastAsia" w:hAnsiTheme="majorEastAsia" w:eastAsiaTheme="majorEastAsia" w:cstheme="majorEastAsia"/>
                <w:bCs/>
                <w:color w:val="000000"/>
                <w:kern w:val="0"/>
                <w:sz w:val="18"/>
                <w:szCs w:val="18"/>
              </w:rPr>
              <w:t>万元</w:t>
            </w:r>
          </w:p>
        </w:tc>
        <w:tc>
          <w:tcPr>
            <w:tcW w:w="1129" w:type="dxa"/>
            <w:tcBorders>
              <w:top w:val="single" w:color="auto" w:sz="4" w:space="0"/>
              <w:left w:val="nil"/>
              <w:bottom w:val="single" w:color="auto" w:sz="4" w:space="0"/>
              <w:right w:val="single" w:color="auto" w:sz="4" w:space="0"/>
            </w:tcBorders>
            <w:noWrap w:val="0"/>
            <w:vAlign w:val="center"/>
          </w:tcPr>
          <w:p>
            <w:pPr>
              <w:spacing w:line="260" w:lineRule="exact"/>
              <w:rPr>
                <w:rFonts w:hint="eastAsia" w:asciiTheme="majorEastAsia" w:hAnsiTheme="majorEastAsia" w:eastAsiaTheme="majorEastAsia" w:cstheme="majorEastAsia"/>
                <w:color w:val="000000"/>
                <w:kern w:val="2"/>
                <w:sz w:val="18"/>
                <w:szCs w:val="18"/>
                <w:lang w:val="en-US" w:eastAsia="zh-CN" w:bidi="ar-SA"/>
              </w:rPr>
            </w:pPr>
            <w:r>
              <w:rPr>
                <w:rFonts w:hint="eastAsia" w:asciiTheme="majorEastAsia" w:hAnsiTheme="majorEastAsia" w:eastAsiaTheme="majorEastAsia" w:cstheme="majorEastAsia"/>
                <w:bCs/>
                <w:color w:val="000000"/>
                <w:kern w:val="0"/>
                <w:sz w:val="18"/>
                <w:szCs w:val="18"/>
              </w:rPr>
              <w:t>1</w:t>
            </w:r>
            <w:r>
              <w:rPr>
                <w:rFonts w:hint="eastAsia" w:asciiTheme="majorEastAsia" w:hAnsiTheme="majorEastAsia" w:eastAsiaTheme="majorEastAsia" w:cstheme="majorEastAsia"/>
                <w:bCs/>
                <w:color w:val="000000"/>
                <w:kern w:val="0"/>
                <w:sz w:val="18"/>
                <w:szCs w:val="18"/>
                <w:lang w:val="en-US" w:eastAsia="zh-CN"/>
              </w:rPr>
              <w:t>21.49</w:t>
            </w:r>
            <w:r>
              <w:rPr>
                <w:rFonts w:hint="eastAsia" w:asciiTheme="majorEastAsia" w:hAnsiTheme="majorEastAsia" w:eastAsiaTheme="majorEastAsia" w:cstheme="majorEastAsia"/>
                <w:bCs/>
                <w:color w:val="000000"/>
                <w:kern w:val="0"/>
                <w:sz w:val="18"/>
                <w:szCs w:val="18"/>
              </w:rPr>
              <w:t>万元</w:t>
            </w:r>
          </w:p>
        </w:tc>
        <w:tc>
          <w:tcPr>
            <w:tcW w:w="824"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eastAsia" w:asciiTheme="majorEastAsia" w:hAnsiTheme="majorEastAsia" w:eastAsiaTheme="majorEastAsia" w:cstheme="majorEastAsia"/>
                <w:color w:val="000000"/>
                <w:kern w:val="2"/>
                <w:sz w:val="18"/>
                <w:szCs w:val="18"/>
                <w:lang w:val="en-US" w:eastAsia="zh-CN" w:bidi="ar-SA"/>
              </w:rPr>
            </w:pPr>
            <w:r>
              <w:rPr>
                <w:rFonts w:hint="eastAsia" w:asciiTheme="majorEastAsia" w:hAnsiTheme="majorEastAsia" w:eastAsiaTheme="majorEastAsia" w:cstheme="majorEastAsia"/>
                <w:color w:val="000000"/>
                <w:sz w:val="18"/>
                <w:szCs w:val="18"/>
                <w:lang w:val="en-US" w:eastAsia="zh-CN"/>
              </w:rPr>
              <w:t>20</w:t>
            </w:r>
          </w:p>
        </w:tc>
        <w:tc>
          <w:tcPr>
            <w:tcW w:w="869"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eastAsia" w:asciiTheme="majorEastAsia" w:hAnsiTheme="majorEastAsia" w:eastAsiaTheme="majorEastAsia" w:cstheme="majorEastAsia"/>
                <w:color w:val="000000"/>
                <w:kern w:val="2"/>
                <w:sz w:val="18"/>
                <w:szCs w:val="18"/>
                <w:lang w:val="en-US" w:eastAsia="zh-CN" w:bidi="ar-SA"/>
              </w:rPr>
            </w:pPr>
            <w:r>
              <w:rPr>
                <w:rFonts w:hint="eastAsia" w:asciiTheme="majorEastAsia" w:hAnsiTheme="majorEastAsia" w:eastAsiaTheme="majorEastAsia" w:cstheme="majorEastAsia"/>
                <w:color w:val="000000"/>
                <w:kern w:val="2"/>
                <w:sz w:val="18"/>
                <w:szCs w:val="18"/>
                <w:lang w:val="en-US" w:eastAsia="zh-CN" w:bidi="ar-SA"/>
              </w:rPr>
              <w:t>20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1075" w:type="dxa"/>
            <w:vMerge w:val="restart"/>
            <w:tcBorders>
              <w:top w:val="nil"/>
              <w:left w:val="nil"/>
              <w:bottom w:val="single" w:color="auto" w:sz="4" w:space="0"/>
              <w:right w:val="single" w:color="auto" w:sz="4" w:space="0"/>
            </w:tcBorders>
            <w:noWrap w:val="0"/>
            <w:vAlign w:val="center"/>
          </w:tcPr>
          <w:p>
            <w:pPr>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质量指标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1075" w:type="dxa"/>
            <w:vMerge w:val="continue"/>
            <w:tcBorders>
              <w:top w:val="nil"/>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1075" w:type="dxa"/>
            <w:vMerge w:val="restart"/>
            <w:tcBorders>
              <w:top w:val="nil"/>
              <w:left w:val="nil"/>
              <w:bottom w:val="single" w:color="auto" w:sz="4" w:space="0"/>
              <w:right w:val="single" w:color="auto" w:sz="4" w:space="0"/>
            </w:tcBorders>
            <w:noWrap w:val="0"/>
            <w:vAlign w:val="center"/>
          </w:tcPr>
          <w:p>
            <w:pPr>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时效指标</w:t>
            </w:r>
          </w:p>
        </w:tc>
        <w:tc>
          <w:tcPr>
            <w:tcW w:w="1143" w:type="dxa"/>
            <w:tcBorders>
              <w:top w:val="single" w:color="auto" w:sz="4" w:space="0"/>
              <w:left w:val="nil"/>
              <w:bottom w:val="single" w:color="auto" w:sz="4" w:space="0"/>
              <w:right w:val="single" w:color="auto" w:sz="4" w:space="0"/>
            </w:tcBorders>
            <w:noWrap w:val="0"/>
            <w:vAlign w:val="center"/>
          </w:tcPr>
          <w:p>
            <w:pPr>
              <w:rPr>
                <w:rFonts w:hint="eastAsia" w:asciiTheme="majorEastAsia" w:hAnsiTheme="majorEastAsia" w:eastAsiaTheme="majorEastAsia" w:cstheme="majorEastAsia"/>
                <w:color w:val="000000"/>
                <w:kern w:val="2"/>
                <w:sz w:val="18"/>
                <w:szCs w:val="18"/>
                <w:lang w:val="en-US" w:eastAsia="zh-CN" w:bidi="ar-SA"/>
              </w:rPr>
            </w:pPr>
            <w:r>
              <w:rPr>
                <w:rFonts w:hint="eastAsia" w:asciiTheme="majorEastAsia" w:hAnsiTheme="majorEastAsia" w:eastAsiaTheme="majorEastAsia" w:cstheme="majorEastAsia"/>
                <w:color w:val="000000"/>
                <w:kern w:val="0"/>
                <w:sz w:val="18"/>
                <w:szCs w:val="18"/>
              </w:rPr>
              <w:t>中小企业租金减免期限</w:t>
            </w:r>
          </w:p>
        </w:tc>
        <w:tc>
          <w:tcPr>
            <w:tcW w:w="1202" w:type="dxa"/>
            <w:tcBorders>
              <w:top w:val="single" w:color="auto" w:sz="4" w:space="0"/>
              <w:left w:val="nil"/>
              <w:bottom w:val="single" w:color="auto" w:sz="4" w:space="0"/>
              <w:right w:val="single" w:color="auto" w:sz="4" w:space="0"/>
            </w:tcBorders>
            <w:noWrap w:val="0"/>
            <w:vAlign w:val="center"/>
          </w:tcPr>
          <w:p>
            <w:pPr>
              <w:spacing w:line="260" w:lineRule="exact"/>
              <w:rPr>
                <w:rFonts w:hint="eastAsia" w:asciiTheme="majorEastAsia" w:hAnsiTheme="majorEastAsia" w:eastAsiaTheme="majorEastAsia" w:cstheme="majorEastAsia"/>
                <w:color w:val="000000"/>
                <w:kern w:val="2"/>
                <w:sz w:val="18"/>
                <w:szCs w:val="18"/>
                <w:lang w:val="en-US" w:eastAsia="zh-CN" w:bidi="ar-SA"/>
              </w:rPr>
            </w:pPr>
            <w:r>
              <w:rPr>
                <w:rFonts w:hint="eastAsia" w:asciiTheme="majorEastAsia" w:hAnsiTheme="majorEastAsia" w:eastAsiaTheme="majorEastAsia" w:cstheme="majorEastAsia"/>
                <w:color w:val="000000"/>
                <w:sz w:val="18"/>
                <w:szCs w:val="18"/>
              </w:rPr>
              <w:t>　6个月</w:t>
            </w:r>
          </w:p>
        </w:tc>
        <w:tc>
          <w:tcPr>
            <w:tcW w:w="1129" w:type="dxa"/>
            <w:tcBorders>
              <w:top w:val="single" w:color="auto" w:sz="4" w:space="0"/>
              <w:left w:val="nil"/>
              <w:bottom w:val="single" w:color="auto" w:sz="4" w:space="0"/>
              <w:right w:val="single" w:color="auto" w:sz="4" w:space="0"/>
            </w:tcBorders>
            <w:noWrap w:val="0"/>
            <w:vAlign w:val="center"/>
          </w:tcPr>
          <w:p>
            <w:pPr>
              <w:spacing w:line="260" w:lineRule="exact"/>
              <w:rPr>
                <w:rFonts w:hint="eastAsia" w:asciiTheme="majorEastAsia" w:hAnsiTheme="majorEastAsia" w:eastAsiaTheme="majorEastAsia" w:cstheme="majorEastAsia"/>
                <w:color w:val="000000"/>
                <w:kern w:val="2"/>
                <w:sz w:val="18"/>
                <w:szCs w:val="18"/>
                <w:lang w:val="en-US" w:eastAsia="zh-CN" w:bidi="ar-SA"/>
              </w:rPr>
            </w:pPr>
            <w:r>
              <w:rPr>
                <w:rFonts w:hint="eastAsia" w:asciiTheme="majorEastAsia" w:hAnsiTheme="majorEastAsia" w:eastAsiaTheme="majorEastAsia" w:cstheme="majorEastAsia"/>
                <w:color w:val="000000"/>
                <w:sz w:val="18"/>
                <w:szCs w:val="18"/>
              </w:rPr>
              <w:t>6个月</w:t>
            </w:r>
          </w:p>
        </w:tc>
        <w:tc>
          <w:tcPr>
            <w:tcW w:w="824"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eastAsia" w:asciiTheme="majorEastAsia" w:hAnsiTheme="majorEastAsia" w:eastAsiaTheme="majorEastAsia" w:cstheme="majorEastAsia"/>
                <w:color w:val="000000"/>
                <w:kern w:val="2"/>
                <w:sz w:val="18"/>
                <w:szCs w:val="18"/>
                <w:lang w:val="en-US" w:eastAsia="zh-CN" w:bidi="ar-SA"/>
              </w:rPr>
            </w:pPr>
            <w:r>
              <w:rPr>
                <w:rFonts w:hint="eastAsia" w:asciiTheme="majorEastAsia" w:hAnsiTheme="majorEastAsia" w:eastAsiaTheme="majorEastAsia" w:cstheme="majorEastAsia"/>
                <w:color w:val="000000"/>
                <w:sz w:val="18"/>
                <w:szCs w:val="18"/>
                <w:lang w:val="en-US" w:eastAsia="zh-CN"/>
              </w:rPr>
              <w:t>10</w:t>
            </w:r>
          </w:p>
        </w:tc>
        <w:tc>
          <w:tcPr>
            <w:tcW w:w="869"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eastAsia" w:asciiTheme="majorEastAsia" w:hAnsiTheme="majorEastAsia" w:eastAsiaTheme="majorEastAsia" w:cstheme="majorEastAsia"/>
                <w:color w:val="000000"/>
                <w:kern w:val="2"/>
                <w:sz w:val="18"/>
                <w:szCs w:val="18"/>
                <w:lang w:val="en-US" w:eastAsia="zh-CN" w:bidi="ar-SA"/>
              </w:rPr>
            </w:pPr>
            <w:r>
              <w:rPr>
                <w:rFonts w:hint="eastAsia" w:asciiTheme="majorEastAsia" w:hAnsiTheme="majorEastAsia" w:eastAsiaTheme="majorEastAsia" w:cstheme="majorEastAsia"/>
                <w:color w:val="000000"/>
                <w:sz w:val="18"/>
                <w:szCs w:val="18"/>
                <w:lang w:val="en-US" w:eastAsia="zh-CN"/>
              </w:rPr>
              <w:t>10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1075" w:type="dxa"/>
            <w:vMerge w:val="continue"/>
            <w:tcBorders>
              <w:top w:val="nil"/>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1075" w:type="dxa"/>
            <w:vMerge w:val="restart"/>
            <w:tcBorders>
              <w:top w:val="nil"/>
              <w:left w:val="nil"/>
              <w:bottom w:val="single" w:color="auto" w:sz="4" w:space="0"/>
              <w:right w:val="single" w:color="auto" w:sz="4" w:space="0"/>
            </w:tcBorders>
            <w:noWrap w:val="0"/>
            <w:vAlign w:val="center"/>
          </w:tcPr>
          <w:p>
            <w:pPr>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成本指标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1075" w:type="dxa"/>
            <w:vMerge w:val="continue"/>
            <w:tcBorders>
              <w:top w:val="nil"/>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1074" w:type="dxa"/>
            <w:vMerge w:val="restart"/>
            <w:tcBorders>
              <w:top w:val="nil"/>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效益指标</w:t>
            </w:r>
          </w:p>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（30分）</w:t>
            </w:r>
          </w:p>
        </w:tc>
        <w:tc>
          <w:tcPr>
            <w:tcW w:w="1075" w:type="dxa"/>
            <w:vMerge w:val="restart"/>
            <w:tcBorders>
              <w:top w:val="nil"/>
              <w:left w:val="nil"/>
              <w:bottom w:val="single" w:color="auto" w:sz="4" w:space="0"/>
              <w:right w:val="single" w:color="auto" w:sz="4" w:space="0"/>
            </w:tcBorders>
            <w:noWrap w:val="0"/>
            <w:vAlign w:val="center"/>
          </w:tcPr>
          <w:p>
            <w:pPr>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经济效</w:t>
            </w:r>
          </w:p>
          <w:p>
            <w:pPr>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益指标</w:t>
            </w:r>
          </w:p>
        </w:tc>
        <w:tc>
          <w:tcPr>
            <w:tcW w:w="1143" w:type="dxa"/>
            <w:tcBorders>
              <w:top w:val="single" w:color="auto" w:sz="4" w:space="0"/>
              <w:left w:val="nil"/>
              <w:bottom w:val="single" w:color="auto" w:sz="4" w:space="0"/>
              <w:right w:val="single" w:color="auto" w:sz="4" w:space="0"/>
            </w:tcBorders>
            <w:noWrap w:val="0"/>
            <w:vAlign w:val="center"/>
          </w:tcPr>
          <w:p>
            <w:pPr>
              <w:spacing w:line="260" w:lineRule="exact"/>
              <w:rPr>
                <w:rFonts w:hint="eastAsia" w:asciiTheme="majorEastAsia" w:hAnsiTheme="majorEastAsia" w:eastAsiaTheme="majorEastAsia" w:cstheme="majorEastAsia"/>
                <w:color w:val="000000"/>
                <w:kern w:val="2"/>
                <w:sz w:val="18"/>
                <w:szCs w:val="18"/>
                <w:lang w:val="en-US" w:eastAsia="zh-CN" w:bidi="ar-SA"/>
              </w:rPr>
            </w:pPr>
            <w:r>
              <w:rPr>
                <w:rFonts w:hint="eastAsia" w:asciiTheme="majorEastAsia" w:hAnsiTheme="majorEastAsia" w:eastAsiaTheme="majorEastAsia" w:cstheme="majorEastAsia"/>
                <w:sz w:val="18"/>
                <w:szCs w:val="18"/>
              </w:rPr>
              <w:t>非税收入</w:t>
            </w:r>
          </w:p>
        </w:tc>
        <w:tc>
          <w:tcPr>
            <w:tcW w:w="1202" w:type="dxa"/>
            <w:tcBorders>
              <w:top w:val="single" w:color="auto" w:sz="4" w:space="0"/>
              <w:left w:val="nil"/>
              <w:bottom w:val="single" w:color="auto" w:sz="4" w:space="0"/>
              <w:right w:val="single" w:color="auto" w:sz="4" w:space="0"/>
            </w:tcBorders>
            <w:noWrap w:val="0"/>
            <w:vAlign w:val="center"/>
          </w:tcPr>
          <w:p>
            <w:pPr>
              <w:spacing w:line="260" w:lineRule="exact"/>
              <w:ind w:firstLine="180" w:firstLineChars="100"/>
              <w:rPr>
                <w:rFonts w:hint="eastAsia" w:asciiTheme="majorEastAsia" w:hAnsiTheme="majorEastAsia" w:eastAsiaTheme="majorEastAsia" w:cstheme="majorEastAsia"/>
                <w:color w:val="000000"/>
                <w:kern w:val="2"/>
                <w:sz w:val="18"/>
                <w:szCs w:val="18"/>
                <w:lang w:val="en-US" w:eastAsia="zh-CN" w:bidi="ar-SA"/>
              </w:rPr>
            </w:pPr>
            <w:r>
              <w:rPr>
                <w:rFonts w:hint="eastAsia" w:asciiTheme="majorEastAsia" w:hAnsiTheme="majorEastAsia" w:eastAsiaTheme="majorEastAsia" w:cstheme="majorEastAsia"/>
                <w:color w:val="000000"/>
                <w:sz w:val="18"/>
                <w:szCs w:val="18"/>
              </w:rPr>
              <w:t>2</w:t>
            </w:r>
            <w:r>
              <w:rPr>
                <w:rFonts w:hint="eastAsia" w:asciiTheme="majorEastAsia" w:hAnsiTheme="majorEastAsia" w:eastAsiaTheme="majorEastAsia" w:cstheme="majorEastAsia"/>
                <w:color w:val="000000"/>
                <w:sz w:val="18"/>
                <w:szCs w:val="18"/>
                <w:lang w:val="en-US" w:eastAsia="zh-CN"/>
              </w:rPr>
              <w:t>56</w:t>
            </w:r>
            <w:r>
              <w:rPr>
                <w:rFonts w:hint="eastAsia" w:asciiTheme="majorEastAsia" w:hAnsiTheme="majorEastAsia" w:eastAsiaTheme="majorEastAsia" w:cstheme="majorEastAsia"/>
                <w:color w:val="000000"/>
                <w:sz w:val="18"/>
                <w:szCs w:val="18"/>
              </w:rPr>
              <w:t>万元</w:t>
            </w:r>
          </w:p>
        </w:tc>
        <w:tc>
          <w:tcPr>
            <w:tcW w:w="1129" w:type="dxa"/>
            <w:tcBorders>
              <w:top w:val="single" w:color="auto" w:sz="4" w:space="0"/>
              <w:left w:val="nil"/>
              <w:bottom w:val="single" w:color="auto" w:sz="4" w:space="0"/>
              <w:right w:val="single" w:color="auto" w:sz="4" w:space="0"/>
            </w:tcBorders>
            <w:noWrap w:val="0"/>
            <w:vAlign w:val="center"/>
          </w:tcPr>
          <w:p>
            <w:pPr>
              <w:spacing w:line="260" w:lineRule="exact"/>
              <w:rPr>
                <w:rFonts w:hint="eastAsia" w:asciiTheme="majorEastAsia" w:hAnsiTheme="majorEastAsia" w:eastAsiaTheme="majorEastAsia" w:cstheme="majorEastAsia"/>
                <w:color w:val="000000"/>
                <w:kern w:val="2"/>
                <w:sz w:val="18"/>
                <w:szCs w:val="18"/>
                <w:lang w:val="en-US" w:eastAsia="zh-CN" w:bidi="ar-SA"/>
              </w:rPr>
            </w:pPr>
            <w:r>
              <w:rPr>
                <w:rFonts w:hint="eastAsia" w:asciiTheme="majorEastAsia" w:hAnsiTheme="majorEastAsia" w:eastAsiaTheme="majorEastAsia" w:cstheme="majorEastAsia"/>
                <w:color w:val="000000"/>
                <w:sz w:val="18"/>
                <w:szCs w:val="18"/>
                <w:lang w:val="en-US" w:eastAsia="zh-CN"/>
              </w:rPr>
              <w:t>256</w:t>
            </w:r>
            <w:r>
              <w:rPr>
                <w:rFonts w:hint="eastAsia" w:asciiTheme="majorEastAsia" w:hAnsiTheme="majorEastAsia" w:eastAsiaTheme="majorEastAsia" w:cstheme="majorEastAsia"/>
                <w:color w:val="000000"/>
                <w:sz w:val="18"/>
                <w:szCs w:val="18"/>
              </w:rPr>
              <w:t>万元</w:t>
            </w:r>
          </w:p>
        </w:tc>
        <w:tc>
          <w:tcPr>
            <w:tcW w:w="824"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eastAsia" w:asciiTheme="majorEastAsia" w:hAnsiTheme="majorEastAsia" w:eastAsiaTheme="majorEastAsia" w:cstheme="majorEastAsia"/>
                <w:color w:val="000000"/>
                <w:kern w:val="2"/>
                <w:sz w:val="18"/>
                <w:szCs w:val="18"/>
                <w:lang w:val="en-US" w:eastAsia="zh-CN" w:bidi="ar-SA"/>
              </w:rPr>
            </w:pPr>
            <w:r>
              <w:rPr>
                <w:rFonts w:hint="eastAsia" w:asciiTheme="majorEastAsia" w:hAnsiTheme="majorEastAsia" w:eastAsiaTheme="majorEastAsia" w:cstheme="majorEastAsia"/>
                <w:color w:val="000000"/>
                <w:sz w:val="18"/>
                <w:szCs w:val="18"/>
                <w:lang w:val="en-US" w:eastAsia="zh-CN"/>
              </w:rPr>
              <w:t>15</w:t>
            </w:r>
          </w:p>
        </w:tc>
        <w:tc>
          <w:tcPr>
            <w:tcW w:w="869"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eastAsia" w:asciiTheme="majorEastAsia" w:hAnsiTheme="majorEastAsia" w:eastAsiaTheme="majorEastAsia" w:cstheme="majorEastAsia"/>
                <w:color w:val="000000"/>
                <w:kern w:val="2"/>
                <w:sz w:val="18"/>
                <w:szCs w:val="18"/>
                <w:lang w:val="en-US" w:eastAsia="zh-CN" w:bidi="ar-SA"/>
              </w:rPr>
            </w:pPr>
            <w:r>
              <w:rPr>
                <w:rFonts w:hint="eastAsia" w:asciiTheme="majorEastAsia" w:hAnsiTheme="majorEastAsia" w:eastAsiaTheme="majorEastAsia" w:cstheme="majorEastAsia"/>
                <w:color w:val="000000"/>
                <w:kern w:val="2"/>
                <w:sz w:val="18"/>
                <w:szCs w:val="18"/>
                <w:lang w:val="en-US" w:eastAsia="zh-CN" w:bidi="ar-SA"/>
              </w:rPr>
              <w:t>15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1075" w:type="dxa"/>
            <w:vMerge w:val="continue"/>
            <w:tcBorders>
              <w:top w:val="nil"/>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1075" w:type="dxa"/>
            <w:tcBorders>
              <w:top w:val="nil"/>
              <w:left w:val="nil"/>
              <w:bottom w:val="single" w:color="auto" w:sz="4" w:space="0"/>
              <w:right w:val="single" w:color="auto" w:sz="4" w:space="0"/>
            </w:tcBorders>
            <w:noWrap w:val="0"/>
            <w:vAlign w:val="center"/>
          </w:tcPr>
          <w:p>
            <w:pPr>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社会效</w:t>
            </w:r>
          </w:p>
          <w:p>
            <w:pPr>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益指标</w:t>
            </w:r>
          </w:p>
        </w:tc>
        <w:tc>
          <w:tcPr>
            <w:tcW w:w="1143" w:type="dxa"/>
            <w:tcBorders>
              <w:top w:val="single" w:color="auto" w:sz="4" w:space="0"/>
              <w:left w:val="nil"/>
              <w:bottom w:val="single" w:color="auto" w:sz="4" w:space="0"/>
              <w:right w:val="single" w:color="auto" w:sz="4" w:space="0"/>
            </w:tcBorders>
            <w:noWrap w:val="0"/>
            <w:vAlign w:val="center"/>
          </w:tcPr>
          <w:p>
            <w:pPr>
              <w:spacing w:line="260" w:lineRule="exact"/>
              <w:rPr>
                <w:rFonts w:hint="eastAsia" w:asciiTheme="majorEastAsia" w:hAnsiTheme="majorEastAsia" w:eastAsiaTheme="majorEastAsia" w:cstheme="majorEastAsia"/>
                <w:color w:val="000000"/>
                <w:kern w:val="2"/>
                <w:sz w:val="18"/>
                <w:szCs w:val="18"/>
                <w:lang w:val="en-US" w:eastAsia="zh-CN" w:bidi="ar-SA"/>
              </w:rPr>
            </w:pPr>
            <w:r>
              <w:rPr>
                <w:rFonts w:hint="eastAsia" w:asciiTheme="majorEastAsia" w:hAnsiTheme="majorEastAsia" w:eastAsiaTheme="majorEastAsia" w:cstheme="majorEastAsia"/>
                <w:color w:val="000000"/>
                <w:kern w:val="0"/>
                <w:sz w:val="18"/>
                <w:szCs w:val="18"/>
              </w:rPr>
              <w:t>租金减免带来的效果</w:t>
            </w:r>
          </w:p>
        </w:tc>
        <w:tc>
          <w:tcPr>
            <w:tcW w:w="1202" w:type="dxa"/>
            <w:tcBorders>
              <w:top w:val="single" w:color="auto" w:sz="4" w:space="0"/>
              <w:left w:val="nil"/>
              <w:bottom w:val="single" w:color="auto" w:sz="4" w:space="0"/>
              <w:right w:val="single" w:color="auto" w:sz="4" w:space="0"/>
            </w:tcBorders>
            <w:noWrap w:val="0"/>
            <w:vAlign w:val="center"/>
          </w:tcPr>
          <w:p>
            <w:pPr>
              <w:rPr>
                <w:rFonts w:hint="eastAsia" w:asciiTheme="majorEastAsia" w:hAnsiTheme="majorEastAsia" w:eastAsiaTheme="majorEastAsia" w:cstheme="majorEastAsia"/>
                <w:color w:val="000000"/>
                <w:kern w:val="2"/>
                <w:sz w:val="18"/>
                <w:szCs w:val="18"/>
                <w:lang w:val="en-US" w:eastAsia="zh-CN" w:bidi="ar-SA"/>
              </w:rPr>
            </w:pPr>
            <w:r>
              <w:rPr>
                <w:rFonts w:hint="eastAsia" w:asciiTheme="majorEastAsia" w:hAnsiTheme="majorEastAsia" w:eastAsiaTheme="majorEastAsia" w:cstheme="majorEastAsia"/>
                <w:color w:val="000000"/>
                <w:kern w:val="0"/>
                <w:sz w:val="18"/>
                <w:szCs w:val="18"/>
              </w:rPr>
              <w:t>企业复工复产，个体工商户恢复经营。</w:t>
            </w:r>
          </w:p>
        </w:tc>
        <w:tc>
          <w:tcPr>
            <w:tcW w:w="1129" w:type="dxa"/>
            <w:tcBorders>
              <w:top w:val="single" w:color="auto" w:sz="4" w:space="0"/>
              <w:left w:val="nil"/>
              <w:bottom w:val="single" w:color="auto" w:sz="4" w:space="0"/>
              <w:right w:val="single" w:color="auto" w:sz="4" w:space="0"/>
            </w:tcBorders>
            <w:noWrap w:val="0"/>
            <w:vAlign w:val="center"/>
          </w:tcPr>
          <w:p>
            <w:pPr>
              <w:rPr>
                <w:rFonts w:hint="eastAsia" w:asciiTheme="majorEastAsia" w:hAnsiTheme="majorEastAsia" w:eastAsiaTheme="majorEastAsia" w:cstheme="majorEastAsia"/>
                <w:color w:val="000000"/>
                <w:kern w:val="2"/>
                <w:sz w:val="18"/>
                <w:szCs w:val="18"/>
                <w:lang w:val="en-US" w:eastAsia="zh-CN" w:bidi="ar-SA"/>
              </w:rPr>
            </w:pPr>
            <w:r>
              <w:rPr>
                <w:rFonts w:hint="eastAsia" w:asciiTheme="majorEastAsia" w:hAnsiTheme="majorEastAsia" w:eastAsiaTheme="majorEastAsia" w:cstheme="majorEastAsia"/>
                <w:color w:val="000000"/>
                <w:kern w:val="0"/>
                <w:sz w:val="18"/>
                <w:szCs w:val="18"/>
              </w:rPr>
              <w:t>企业复工复产，个体工商户恢复经营。</w:t>
            </w:r>
          </w:p>
        </w:tc>
        <w:tc>
          <w:tcPr>
            <w:tcW w:w="824"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eastAsia" w:asciiTheme="majorEastAsia" w:hAnsiTheme="majorEastAsia" w:eastAsiaTheme="majorEastAsia" w:cstheme="majorEastAsia"/>
                <w:color w:val="000000"/>
                <w:kern w:val="2"/>
                <w:sz w:val="18"/>
                <w:szCs w:val="18"/>
                <w:lang w:val="en-US" w:eastAsia="zh-CN" w:bidi="ar-SA"/>
              </w:rPr>
            </w:pPr>
            <w:r>
              <w:rPr>
                <w:rFonts w:hint="eastAsia" w:asciiTheme="majorEastAsia" w:hAnsiTheme="majorEastAsia" w:eastAsiaTheme="majorEastAsia" w:cstheme="majorEastAsia"/>
                <w:color w:val="000000"/>
                <w:sz w:val="18"/>
                <w:szCs w:val="18"/>
                <w:lang w:val="en-US" w:eastAsia="zh-CN"/>
              </w:rPr>
              <w:t>15</w:t>
            </w:r>
          </w:p>
        </w:tc>
        <w:tc>
          <w:tcPr>
            <w:tcW w:w="869"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eastAsia" w:asciiTheme="majorEastAsia" w:hAnsiTheme="majorEastAsia" w:eastAsiaTheme="majorEastAsia" w:cstheme="majorEastAsia"/>
                <w:color w:val="000000"/>
                <w:kern w:val="2"/>
                <w:sz w:val="18"/>
                <w:szCs w:val="18"/>
                <w:lang w:val="en-US" w:eastAsia="zh-CN" w:bidi="ar-SA"/>
              </w:rPr>
            </w:pPr>
            <w:r>
              <w:rPr>
                <w:rFonts w:hint="eastAsia" w:asciiTheme="majorEastAsia" w:hAnsiTheme="majorEastAsia" w:eastAsiaTheme="majorEastAsia" w:cstheme="majorEastAsia"/>
                <w:color w:val="000000"/>
                <w:kern w:val="2"/>
                <w:sz w:val="18"/>
                <w:szCs w:val="18"/>
                <w:lang w:val="en-US" w:eastAsia="zh-CN" w:bidi="ar-SA"/>
              </w:rPr>
              <w:t>15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1074" w:type="dxa"/>
            <w:vMerge w:val="restart"/>
            <w:tcBorders>
              <w:top w:val="nil"/>
              <w:left w:val="nil"/>
              <w:bottom w:val="single" w:color="auto" w:sz="4" w:space="0"/>
              <w:right w:val="single" w:color="auto" w:sz="4" w:space="0"/>
            </w:tcBorders>
            <w:noWrap w:val="0"/>
            <w:vAlign w:val="center"/>
          </w:tcPr>
          <w:p>
            <w:pPr>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满意度</w:t>
            </w:r>
          </w:p>
          <w:p>
            <w:pPr>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指标</w:t>
            </w:r>
          </w:p>
          <w:p>
            <w:pPr>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（10分）</w:t>
            </w:r>
          </w:p>
        </w:tc>
        <w:tc>
          <w:tcPr>
            <w:tcW w:w="1075" w:type="dxa"/>
            <w:vMerge w:val="restart"/>
            <w:tcBorders>
              <w:top w:val="nil"/>
              <w:left w:val="nil"/>
              <w:bottom w:val="single" w:color="auto" w:sz="4" w:space="0"/>
              <w:right w:val="single" w:color="auto" w:sz="4" w:space="0"/>
            </w:tcBorders>
            <w:noWrap w:val="0"/>
            <w:vAlign w:val="center"/>
          </w:tcPr>
          <w:p>
            <w:pPr>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服务对象满意度指标</w:t>
            </w:r>
          </w:p>
        </w:tc>
        <w:tc>
          <w:tcPr>
            <w:tcW w:w="1143" w:type="dxa"/>
            <w:tcBorders>
              <w:top w:val="single" w:color="auto" w:sz="4" w:space="0"/>
              <w:left w:val="nil"/>
              <w:bottom w:val="single" w:color="auto" w:sz="4" w:space="0"/>
              <w:right w:val="single" w:color="auto" w:sz="4" w:space="0"/>
            </w:tcBorders>
            <w:noWrap w:val="0"/>
            <w:vAlign w:val="center"/>
          </w:tcPr>
          <w:p>
            <w:pPr>
              <w:spacing w:line="260" w:lineRule="exact"/>
              <w:rPr>
                <w:rFonts w:hint="eastAsia" w:asciiTheme="majorEastAsia" w:hAnsiTheme="majorEastAsia" w:eastAsiaTheme="majorEastAsia" w:cstheme="majorEastAsia"/>
                <w:color w:val="000000"/>
                <w:kern w:val="2"/>
                <w:sz w:val="18"/>
                <w:szCs w:val="18"/>
                <w:lang w:val="en-US" w:eastAsia="zh-CN" w:bidi="ar-SA"/>
              </w:rPr>
            </w:pPr>
            <w:r>
              <w:rPr>
                <w:rFonts w:hint="eastAsia" w:asciiTheme="majorEastAsia" w:hAnsiTheme="majorEastAsia" w:eastAsiaTheme="majorEastAsia" w:cstheme="majorEastAsia"/>
                <w:sz w:val="18"/>
                <w:szCs w:val="18"/>
              </w:rPr>
              <w:t>社会公众或服务对象满意度</w:t>
            </w:r>
          </w:p>
        </w:tc>
        <w:tc>
          <w:tcPr>
            <w:tcW w:w="1202" w:type="dxa"/>
            <w:tcBorders>
              <w:top w:val="single" w:color="auto" w:sz="4" w:space="0"/>
              <w:left w:val="nil"/>
              <w:bottom w:val="single" w:color="auto" w:sz="4" w:space="0"/>
              <w:right w:val="single" w:color="auto" w:sz="4" w:space="0"/>
            </w:tcBorders>
            <w:noWrap w:val="0"/>
            <w:vAlign w:val="center"/>
          </w:tcPr>
          <w:p>
            <w:pPr>
              <w:spacing w:line="260" w:lineRule="exact"/>
              <w:rPr>
                <w:rFonts w:hint="eastAsia" w:asciiTheme="majorEastAsia" w:hAnsiTheme="majorEastAsia" w:eastAsiaTheme="majorEastAsia" w:cstheme="majorEastAsia"/>
                <w:color w:val="000000"/>
                <w:kern w:val="2"/>
                <w:sz w:val="18"/>
                <w:szCs w:val="18"/>
                <w:lang w:val="en-US" w:eastAsia="zh-CN" w:bidi="ar-SA"/>
              </w:rPr>
            </w:pPr>
            <w:r>
              <w:rPr>
                <w:rFonts w:hint="eastAsia" w:asciiTheme="majorEastAsia" w:hAnsiTheme="majorEastAsia" w:eastAsiaTheme="majorEastAsia" w:cstheme="majorEastAsia"/>
                <w:color w:val="000000"/>
                <w:sz w:val="18"/>
                <w:szCs w:val="18"/>
              </w:rPr>
              <w:t>95%以上</w:t>
            </w:r>
          </w:p>
        </w:tc>
        <w:tc>
          <w:tcPr>
            <w:tcW w:w="1129" w:type="dxa"/>
            <w:tcBorders>
              <w:top w:val="single" w:color="auto" w:sz="4" w:space="0"/>
              <w:left w:val="nil"/>
              <w:bottom w:val="single" w:color="auto" w:sz="4" w:space="0"/>
              <w:right w:val="single" w:color="auto" w:sz="4" w:space="0"/>
            </w:tcBorders>
            <w:noWrap w:val="0"/>
            <w:vAlign w:val="center"/>
          </w:tcPr>
          <w:p>
            <w:pPr>
              <w:spacing w:line="260" w:lineRule="exact"/>
              <w:rPr>
                <w:rFonts w:hint="eastAsia" w:asciiTheme="majorEastAsia" w:hAnsiTheme="majorEastAsia" w:eastAsiaTheme="majorEastAsia" w:cstheme="majorEastAsia"/>
                <w:color w:val="000000"/>
                <w:kern w:val="2"/>
                <w:sz w:val="18"/>
                <w:szCs w:val="18"/>
                <w:lang w:val="en-US" w:eastAsia="zh-CN" w:bidi="ar-SA"/>
              </w:rPr>
            </w:pPr>
            <w:r>
              <w:rPr>
                <w:rFonts w:hint="eastAsia" w:asciiTheme="majorEastAsia" w:hAnsiTheme="majorEastAsia" w:eastAsiaTheme="majorEastAsia" w:cstheme="majorEastAsia"/>
                <w:color w:val="000000"/>
                <w:sz w:val="18"/>
                <w:szCs w:val="18"/>
              </w:rPr>
              <w:t>　9</w:t>
            </w:r>
            <w:r>
              <w:rPr>
                <w:rFonts w:hint="eastAsia" w:asciiTheme="majorEastAsia" w:hAnsiTheme="majorEastAsia" w:eastAsiaTheme="majorEastAsia" w:cstheme="majorEastAsia"/>
                <w:color w:val="000000"/>
                <w:sz w:val="18"/>
                <w:szCs w:val="18"/>
                <w:lang w:val="en-US" w:eastAsia="zh-CN"/>
              </w:rPr>
              <w:t>7.06</w:t>
            </w:r>
            <w:r>
              <w:rPr>
                <w:rFonts w:hint="eastAsia" w:asciiTheme="majorEastAsia" w:hAnsiTheme="majorEastAsia" w:eastAsiaTheme="majorEastAsia" w:cstheme="majorEastAsia"/>
                <w:color w:val="000000"/>
                <w:sz w:val="18"/>
                <w:szCs w:val="18"/>
              </w:rPr>
              <w:t>%</w:t>
            </w:r>
          </w:p>
        </w:tc>
        <w:tc>
          <w:tcPr>
            <w:tcW w:w="824" w:type="dxa"/>
            <w:tcBorders>
              <w:top w:val="single" w:color="auto" w:sz="4" w:space="0"/>
              <w:left w:val="nil"/>
              <w:bottom w:val="single" w:color="auto" w:sz="4" w:space="0"/>
              <w:right w:val="single" w:color="auto" w:sz="4" w:space="0"/>
            </w:tcBorders>
            <w:noWrap w:val="0"/>
            <w:vAlign w:val="center"/>
          </w:tcPr>
          <w:p>
            <w:pPr>
              <w:spacing w:line="260" w:lineRule="exact"/>
              <w:rPr>
                <w:rFonts w:hint="eastAsia" w:asciiTheme="majorEastAsia" w:hAnsiTheme="majorEastAsia" w:eastAsiaTheme="majorEastAsia" w:cstheme="majorEastAsia"/>
                <w:color w:val="000000"/>
                <w:kern w:val="2"/>
                <w:sz w:val="18"/>
                <w:szCs w:val="18"/>
                <w:lang w:val="en-US" w:eastAsia="zh-CN" w:bidi="ar-SA"/>
              </w:rPr>
            </w:pPr>
            <w:r>
              <w:rPr>
                <w:rFonts w:hint="eastAsia" w:asciiTheme="majorEastAsia" w:hAnsiTheme="majorEastAsia" w:eastAsiaTheme="majorEastAsia" w:cstheme="majorEastAsia"/>
                <w:color w:val="000000"/>
                <w:sz w:val="18"/>
                <w:szCs w:val="18"/>
              </w:rPr>
              <w:t>　10</w:t>
            </w:r>
          </w:p>
        </w:tc>
        <w:tc>
          <w:tcPr>
            <w:tcW w:w="869" w:type="dxa"/>
            <w:tcBorders>
              <w:top w:val="single" w:color="auto" w:sz="4" w:space="0"/>
              <w:left w:val="nil"/>
              <w:bottom w:val="single" w:color="auto" w:sz="4" w:space="0"/>
              <w:right w:val="single" w:color="auto" w:sz="4" w:space="0"/>
            </w:tcBorders>
            <w:noWrap w:val="0"/>
            <w:vAlign w:val="center"/>
          </w:tcPr>
          <w:p>
            <w:pPr>
              <w:spacing w:line="260" w:lineRule="exact"/>
              <w:rPr>
                <w:rFonts w:hint="eastAsia" w:asciiTheme="majorEastAsia" w:hAnsiTheme="majorEastAsia" w:eastAsiaTheme="majorEastAsia" w:cstheme="majorEastAsia"/>
                <w:color w:val="000000"/>
                <w:kern w:val="2"/>
                <w:sz w:val="18"/>
                <w:szCs w:val="18"/>
                <w:lang w:val="en-US" w:eastAsia="zh-CN" w:bidi="ar-SA"/>
              </w:rPr>
            </w:pPr>
            <w:r>
              <w:rPr>
                <w:rFonts w:hint="eastAsia" w:asciiTheme="majorEastAsia" w:hAnsiTheme="majorEastAsia" w:eastAsiaTheme="majorEastAsia" w:cstheme="majorEastAsia"/>
                <w:color w:val="000000"/>
                <w:sz w:val="18"/>
                <w:szCs w:val="18"/>
              </w:rPr>
              <w:t>　10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1075" w:type="dxa"/>
            <w:vMerge w:val="continue"/>
            <w:tcBorders>
              <w:top w:val="nil"/>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6697"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总分</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100</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lang w:val="en-US" w:eastAsia="zh-CN"/>
              </w:rPr>
            </w:pPr>
            <w:r>
              <w:rPr>
                <w:rFonts w:hint="eastAsia" w:asciiTheme="majorEastAsia" w:hAnsiTheme="majorEastAsia" w:eastAsiaTheme="majorEastAsia" w:cstheme="majorEastAsia"/>
                <w:color w:val="000000"/>
                <w:sz w:val="18"/>
                <w:szCs w:val="18"/>
              </w:rPr>
              <w:t>　</w:t>
            </w:r>
            <w:r>
              <w:rPr>
                <w:rFonts w:hint="eastAsia" w:asciiTheme="majorEastAsia" w:hAnsiTheme="majorEastAsia" w:eastAsiaTheme="majorEastAsia" w:cstheme="majorEastAsia"/>
                <w:color w:val="000000"/>
                <w:sz w:val="18"/>
                <w:szCs w:val="18"/>
                <w:lang w:val="en-US" w:eastAsia="zh-CN"/>
              </w:rPr>
              <w:t>96</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r>
    </w:tbl>
    <w:p>
      <w:pPr>
        <w:spacing w:before="120" w:beforeLines="50"/>
        <w:jc w:val="left"/>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说明：每个一级国有资本经营预算支出填写一张国有资本经营预算支出绩效自评表。</w:t>
      </w:r>
    </w:p>
    <w:p>
      <w:pPr>
        <w:spacing w:before="156" w:beforeLines="50"/>
        <w:jc w:val="left"/>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 xml:space="preserve">单位负责人签字：张少龙 </w:t>
      </w:r>
      <w:r>
        <w:rPr>
          <w:rFonts w:hint="eastAsia" w:asciiTheme="majorEastAsia" w:hAnsiTheme="majorEastAsia" w:eastAsiaTheme="majorEastAsia" w:cstheme="majorEastAsia"/>
          <w:sz w:val="18"/>
          <w:szCs w:val="18"/>
          <w:lang w:val="en-US" w:eastAsia="zh-CN"/>
        </w:rPr>
        <w:t xml:space="preserve"> </w:t>
      </w:r>
      <w:r>
        <w:rPr>
          <w:rFonts w:hint="eastAsia" w:asciiTheme="majorEastAsia" w:hAnsiTheme="majorEastAsia" w:eastAsiaTheme="majorEastAsia" w:cstheme="majorEastAsia"/>
          <w:sz w:val="18"/>
          <w:szCs w:val="18"/>
        </w:rPr>
        <w:t xml:space="preserve">填表人：李成 </w:t>
      </w:r>
      <w:r>
        <w:rPr>
          <w:rFonts w:hint="eastAsia" w:asciiTheme="majorEastAsia" w:hAnsiTheme="majorEastAsia" w:eastAsiaTheme="majorEastAsia" w:cstheme="majorEastAsia"/>
          <w:sz w:val="18"/>
          <w:szCs w:val="18"/>
          <w:lang w:val="en-US" w:eastAsia="zh-CN"/>
        </w:rPr>
        <w:t xml:space="preserve">    </w:t>
      </w:r>
      <w:r>
        <w:rPr>
          <w:rFonts w:hint="eastAsia" w:asciiTheme="majorEastAsia" w:hAnsiTheme="majorEastAsia" w:eastAsiaTheme="majorEastAsia" w:cstheme="majorEastAsia"/>
          <w:sz w:val="18"/>
          <w:szCs w:val="18"/>
        </w:rPr>
        <w:t>联系电话：13974388962</w:t>
      </w:r>
      <w:r>
        <w:rPr>
          <w:rFonts w:hint="eastAsia" w:asciiTheme="majorEastAsia" w:hAnsiTheme="majorEastAsia" w:eastAsiaTheme="majorEastAsia" w:cstheme="majorEastAsia"/>
          <w:sz w:val="18"/>
          <w:szCs w:val="18"/>
          <w:lang w:val="en-US" w:eastAsia="zh-CN"/>
        </w:rPr>
        <w:t xml:space="preserve">     </w:t>
      </w:r>
      <w:r>
        <w:rPr>
          <w:rFonts w:hint="eastAsia" w:asciiTheme="majorEastAsia" w:hAnsiTheme="majorEastAsia" w:eastAsiaTheme="majorEastAsia" w:cstheme="majorEastAsia"/>
          <w:sz w:val="18"/>
          <w:szCs w:val="18"/>
        </w:rPr>
        <w:t>填报日期：202</w:t>
      </w:r>
      <w:r>
        <w:rPr>
          <w:rFonts w:hint="eastAsia" w:asciiTheme="majorEastAsia" w:hAnsiTheme="majorEastAsia" w:eastAsiaTheme="majorEastAsia" w:cstheme="majorEastAsia"/>
          <w:sz w:val="18"/>
          <w:szCs w:val="18"/>
          <w:lang w:val="en-US" w:eastAsia="zh-CN"/>
        </w:rPr>
        <w:t>3</w:t>
      </w:r>
      <w:r>
        <w:rPr>
          <w:rFonts w:hint="eastAsia" w:asciiTheme="majorEastAsia" w:hAnsiTheme="majorEastAsia" w:eastAsiaTheme="majorEastAsia" w:cstheme="majorEastAsia"/>
          <w:sz w:val="18"/>
          <w:szCs w:val="18"/>
        </w:rPr>
        <w:t xml:space="preserve"> 年 </w:t>
      </w:r>
      <w:r>
        <w:rPr>
          <w:rFonts w:hint="eastAsia" w:asciiTheme="majorEastAsia" w:hAnsiTheme="majorEastAsia" w:eastAsiaTheme="majorEastAsia" w:cstheme="majorEastAsia"/>
          <w:sz w:val="18"/>
          <w:szCs w:val="18"/>
          <w:lang w:val="en-US" w:eastAsia="zh-CN"/>
        </w:rPr>
        <w:t>6</w:t>
      </w:r>
      <w:r>
        <w:rPr>
          <w:rFonts w:hint="eastAsia" w:asciiTheme="majorEastAsia" w:hAnsiTheme="majorEastAsia" w:eastAsiaTheme="majorEastAsia" w:cstheme="majorEastAsia"/>
          <w:sz w:val="18"/>
          <w:szCs w:val="18"/>
        </w:rPr>
        <w:t>月</w:t>
      </w:r>
      <w:r>
        <w:rPr>
          <w:rFonts w:hint="eastAsia" w:asciiTheme="majorEastAsia" w:hAnsiTheme="majorEastAsia" w:eastAsiaTheme="majorEastAsia" w:cstheme="majorEastAsia"/>
          <w:sz w:val="18"/>
          <w:szCs w:val="18"/>
          <w:lang w:val="en-US" w:eastAsia="zh-CN"/>
        </w:rPr>
        <w:t>1</w:t>
      </w:r>
      <w:r>
        <w:rPr>
          <w:rFonts w:hint="eastAsia" w:asciiTheme="majorEastAsia" w:hAnsiTheme="majorEastAsia" w:eastAsiaTheme="majorEastAsia" w:cstheme="majorEastAsia"/>
          <w:sz w:val="18"/>
          <w:szCs w:val="18"/>
        </w:rPr>
        <w:t>日</w:t>
      </w:r>
    </w:p>
    <w:p>
      <w:pPr>
        <w:jc w:val="left"/>
        <w:rPr>
          <w:rFonts w:hint="eastAsia" w:asciiTheme="majorEastAsia" w:hAnsiTheme="majorEastAsia" w:eastAsiaTheme="majorEastAsia" w:cstheme="majorEastAsia"/>
          <w:sz w:val="18"/>
          <w:szCs w:val="18"/>
        </w:rPr>
      </w:pPr>
    </w:p>
    <w:p>
      <w:pPr>
        <w:jc w:val="left"/>
        <w:rPr>
          <w:rFonts w:hint="eastAsia" w:asciiTheme="majorEastAsia" w:hAnsiTheme="majorEastAsia" w:eastAsiaTheme="majorEastAsia" w:cstheme="majorEastAsia"/>
          <w:sz w:val="18"/>
          <w:szCs w:val="18"/>
        </w:rPr>
      </w:pPr>
    </w:p>
    <w:p>
      <w:pPr>
        <w:jc w:val="left"/>
        <w:rPr>
          <w:rFonts w:hint="eastAsia" w:asciiTheme="majorEastAsia" w:hAnsiTheme="majorEastAsia" w:eastAsiaTheme="majorEastAsia" w:cstheme="majorEastAsia"/>
          <w:sz w:val="18"/>
          <w:szCs w:val="18"/>
        </w:rPr>
      </w:pPr>
    </w:p>
    <w:p>
      <w:pPr>
        <w:jc w:val="left"/>
        <w:rPr>
          <w:rFonts w:hint="eastAsia" w:asciiTheme="majorEastAsia" w:hAnsiTheme="majorEastAsia" w:eastAsiaTheme="majorEastAsia" w:cstheme="majorEastAsia"/>
          <w:sz w:val="18"/>
          <w:szCs w:val="18"/>
        </w:rPr>
      </w:pPr>
    </w:p>
    <w:p>
      <w:pPr>
        <w:jc w:val="left"/>
        <w:rPr>
          <w:rFonts w:hint="eastAsia" w:asciiTheme="majorEastAsia" w:hAnsiTheme="majorEastAsia" w:eastAsiaTheme="majorEastAsia" w:cstheme="majorEastAsia"/>
          <w:sz w:val="18"/>
          <w:szCs w:val="18"/>
        </w:rPr>
      </w:pPr>
    </w:p>
    <w:p>
      <w:pPr>
        <w:jc w:val="left"/>
        <w:rPr>
          <w:rFonts w:hint="eastAsia" w:asciiTheme="majorEastAsia" w:hAnsiTheme="majorEastAsia" w:eastAsiaTheme="majorEastAsia" w:cstheme="majorEastAsia"/>
          <w:sz w:val="18"/>
          <w:szCs w:val="18"/>
        </w:rPr>
      </w:pPr>
    </w:p>
    <w:p>
      <w:pPr>
        <w:jc w:val="left"/>
        <w:rPr>
          <w:rFonts w:hint="eastAsia" w:asciiTheme="majorEastAsia" w:hAnsiTheme="majorEastAsia" w:eastAsiaTheme="majorEastAsia" w:cstheme="majorEastAsia"/>
          <w:sz w:val="18"/>
          <w:szCs w:val="18"/>
        </w:rPr>
      </w:pPr>
    </w:p>
    <w:p>
      <w:pPr>
        <w:jc w:val="left"/>
        <w:rPr>
          <w:rFonts w:hint="eastAsia" w:asciiTheme="majorEastAsia" w:hAnsiTheme="majorEastAsia" w:eastAsiaTheme="majorEastAsia" w:cstheme="majorEastAsia"/>
          <w:sz w:val="18"/>
          <w:szCs w:val="18"/>
        </w:rPr>
      </w:pPr>
    </w:p>
    <w:p>
      <w:pPr>
        <w:jc w:val="left"/>
        <w:rPr>
          <w:rFonts w:hint="eastAsia" w:asciiTheme="majorEastAsia" w:hAnsiTheme="majorEastAsia" w:eastAsiaTheme="majorEastAsia" w:cstheme="majorEastAsia"/>
          <w:sz w:val="18"/>
          <w:szCs w:val="18"/>
        </w:rPr>
      </w:pPr>
    </w:p>
    <w:p>
      <w:pPr>
        <w:jc w:val="left"/>
        <w:rPr>
          <w:rFonts w:hint="eastAsia" w:asciiTheme="majorEastAsia" w:hAnsiTheme="majorEastAsia" w:eastAsiaTheme="majorEastAsia" w:cstheme="majorEastAsia"/>
          <w:sz w:val="18"/>
          <w:szCs w:val="18"/>
        </w:rPr>
      </w:pPr>
    </w:p>
    <w:p>
      <w:pPr>
        <w:jc w:val="left"/>
        <w:rPr>
          <w:rFonts w:hint="eastAsia" w:asciiTheme="majorEastAsia" w:hAnsiTheme="majorEastAsia" w:eastAsiaTheme="majorEastAsia" w:cstheme="majorEastAsia"/>
          <w:sz w:val="18"/>
          <w:szCs w:val="18"/>
        </w:rPr>
      </w:pPr>
    </w:p>
    <w:p>
      <w:pPr>
        <w:jc w:val="left"/>
        <w:rPr>
          <w:rFonts w:hint="eastAsia" w:asciiTheme="majorEastAsia" w:hAnsiTheme="majorEastAsia" w:eastAsiaTheme="majorEastAsia" w:cstheme="majorEastAsia"/>
          <w:sz w:val="18"/>
          <w:szCs w:val="18"/>
        </w:rPr>
      </w:pPr>
    </w:p>
    <w:p>
      <w:pPr>
        <w:jc w:val="left"/>
        <w:rPr>
          <w:rFonts w:hint="eastAsia" w:asciiTheme="majorEastAsia" w:hAnsiTheme="majorEastAsia" w:eastAsiaTheme="majorEastAsia" w:cstheme="majorEastAsia"/>
          <w:sz w:val="18"/>
          <w:szCs w:val="18"/>
        </w:rPr>
      </w:pPr>
    </w:p>
    <w:p>
      <w:pPr>
        <w:jc w:val="left"/>
        <w:rPr>
          <w:rFonts w:hint="eastAsia" w:asciiTheme="majorEastAsia" w:hAnsiTheme="majorEastAsia" w:eastAsiaTheme="majorEastAsia" w:cstheme="majorEastAsia"/>
          <w:sz w:val="18"/>
          <w:szCs w:val="18"/>
        </w:rPr>
      </w:pPr>
    </w:p>
    <w:p>
      <w:pPr>
        <w:jc w:val="left"/>
        <w:rPr>
          <w:rFonts w:hint="eastAsia" w:asciiTheme="majorEastAsia" w:hAnsiTheme="majorEastAsia" w:eastAsiaTheme="majorEastAsia" w:cstheme="majorEastAsia"/>
          <w:sz w:val="18"/>
          <w:szCs w:val="18"/>
        </w:rPr>
      </w:pPr>
    </w:p>
    <w:p>
      <w:pPr>
        <w:jc w:val="left"/>
        <w:rPr>
          <w:rFonts w:hint="eastAsia" w:asciiTheme="majorEastAsia" w:hAnsiTheme="majorEastAsia" w:eastAsiaTheme="majorEastAsia" w:cstheme="majorEastAsia"/>
          <w:sz w:val="18"/>
          <w:szCs w:val="18"/>
        </w:rPr>
      </w:pPr>
    </w:p>
    <w:p>
      <w:pPr>
        <w:jc w:val="left"/>
        <w:rPr>
          <w:rFonts w:hint="eastAsia" w:asciiTheme="majorEastAsia" w:hAnsiTheme="majorEastAsia" w:eastAsiaTheme="majorEastAsia" w:cstheme="majorEastAsia"/>
          <w:sz w:val="18"/>
          <w:szCs w:val="18"/>
        </w:rPr>
      </w:pPr>
    </w:p>
    <w:p>
      <w:pPr>
        <w:jc w:val="left"/>
        <w:rPr>
          <w:rFonts w:hint="eastAsia" w:asciiTheme="majorEastAsia" w:hAnsiTheme="majorEastAsia" w:eastAsiaTheme="majorEastAsia" w:cstheme="majorEastAsia"/>
          <w:sz w:val="18"/>
          <w:szCs w:val="18"/>
        </w:rPr>
      </w:pPr>
    </w:p>
    <w:p>
      <w:pPr>
        <w:jc w:val="left"/>
        <w:rPr>
          <w:rFonts w:hint="eastAsia" w:asciiTheme="majorEastAsia" w:hAnsiTheme="majorEastAsia" w:eastAsiaTheme="majorEastAsia" w:cstheme="majorEastAsia"/>
          <w:sz w:val="18"/>
          <w:szCs w:val="18"/>
        </w:rPr>
      </w:pPr>
    </w:p>
    <w:p>
      <w:pPr>
        <w:jc w:val="left"/>
        <w:rPr>
          <w:rFonts w:hint="eastAsia" w:asciiTheme="majorEastAsia" w:hAnsiTheme="majorEastAsia" w:eastAsiaTheme="majorEastAsia" w:cstheme="majorEastAsia"/>
          <w:sz w:val="18"/>
          <w:szCs w:val="18"/>
        </w:rPr>
      </w:pPr>
    </w:p>
    <w:p>
      <w:pPr>
        <w:jc w:val="left"/>
        <w:rPr>
          <w:rFonts w:hint="eastAsia" w:asciiTheme="majorEastAsia" w:hAnsiTheme="majorEastAsia" w:eastAsiaTheme="majorEastAsia" w:cstheme="majorEastAsia"/>
          <w:sz w:val="18"/>
          <w:szCs w:val="18"/>
        </w:rPr>
      </w:pPr>
    </w:p>
    <w:p>
      <w:pPr>
        <w:jc w:val="left"/>
        <w:rPr>
          <w:rFonts w:hint="eastAsia" w:asciiTheme="majorEastAsia" w:hAnsiTheme="majorEastAsia" w:eastAsiaTheme="majorEastAsia" w:cstheme="majorEastAsia"/>
          <w:sz w:val="18"/>
          <w:szCs w:val="18"/>
        </w:rPr>
      </w:pPr>
    </w:p>
    <w:p>
      <w:pPr>
        <w:jc w:val="left"/>
        <w:rPr>
          <w:rFonts w:hint="eastAsia" w:asciiTheme="majorEastAsia" w:hAnsiTheme="majorEastAsia" w:eastAsiaTheme="majorEastAsia" w:cstheme="majorEastAsia"/>
          <w:sz w:val="18"/>
          <w:szCs w:val="18"/>
        </w:rPr>
      </w:pPr>
    </w:p>
    <w:p>
      <w:pPr>
        <w:jc w:val="left"/>
        <w:rPr>
          <w:rFonts w:hint="eastAsia" w:asciiTheme="majorEastAsia" w:hAnsiTheme="majorEastAsia" w:eastAsiaTheme="majorEastAsia" w:cstheme="majorEastAsia"/>
          <w:sz w:val="18"/>
          <w:szCs w:val="18"/>
        </w:rPr>
      </w:pPr>
    </w:p>
    <w:p>
      <w:pPr>
        <w:jc w:val="left"/>
        <w:rPr>
          <w:rFonts w:hint="eastAsia" w:asciiTheme="majorEastAsia" w:hAnsiTheme="majorEastAsia" w:eastAsiaTheme="majorEastAsia" w:cstheme="majorEastAsia"/>
          <w:sz w:val="18"/>
          <w:szCs w:val="18"/>
        </w:rPr>
      </w:pPr>
    </w:p>
    <w:p>
      <w:pPr>
        <w:jc w:val="left"/>
        <w:rPr>
          <w:rFonts w:hint="eastAsia" w:asciiTheme="majorEastAsia" w:hAnsiTheme="majorEastAsia" w:eastAsiaTheme="majorEastAsia" w:cstheme="majorEastAsia"/>
          <w:sz w:val="18"/>
          <w:szCs w:val="18"/>
        </w:rPr>
      </w:pPr>
    </w:p>
    <w:p>
      <w:pPr>
        <w:jc w:val="left"/>
        <w:rPr>
          <w:rFonts w:hint="eastAsia" w:asciiTheme="majorEastAsia" w:hAnsiTheme="majorEastAsia" w:eastAsiaTheme="majorEastAsia" w:cstheme="majorEastAsia"/>
          <w:sz w:val="18"/>
          <w:szCs w:val="18"/>
        </w:rPr>
      </w:pPr>
    </w:p>
    <w:p>
      <w:pPr>
        <w:jc w:val="left"/>
        <w:rPr>
          <w:rFonts w:hint="eastAsia" w:asciiTheme="majorEastAsia" w:hAnsiTheme="majorEastAsia" w:eastAsiaTheme="majorEastAsia" w:cstheme="majorEastAsia"/>
          <w:sz w:val="18"/>
          <w:szCs w:val="18"/>
        </w:rPr>
      </w:pPr>
    </w:p>
    <w:p>
      <w:pPr>
        <w:jc w:val="left"/>
        <w:rPr>
          <w:rFonts w:hint="eastAsia" w:asciiTheme="majorEastAsia" w:hAnsiTheme="majorEastAsia" w:eastAsiaTheme="majorEastAsia" w:cstheme="majorEastAsia"/>
          <w:sz w:val="18"/>
          <w:szCs w:val="18"/>
        </w:rPr>
      </w:pPr>
    </w:p>
    <w:p>
      <w:pPr>
        <w:jc w:val="left"/>
        <w:rPr>
          <w:rFonts w:hint="eastAsia" w:asciiTheme="majorEastAsia" w:hAnsiTheme="majorEastAsia" w:eastAsiaTheme="majorEastAsia" w:cstheme="majorEastAsia"/>
          <w:sz w:val="18"/>
          <w:szCs w:val="18"/>
        </w:rPr>
      </w:pPr>
    </w:p>
    <w:p>
      <w:pPr>
        <w:spacing w:line="440" w:lineRule="exact"/>
        <w:jc w:val="left"/>
        <w:rPr>
          <w:rFonts w:hint="eastAsia" w:asciiTheme="majorEastAsia" w:hAnsiTheme="majorEastAsia" w:eastAsiaTheme="majorEastAsia" w:cstheme="majorEastAsia"/>
          <w:sz w:val="30"/>
          <w:szCs w:val="30"/>
        </w:rPr>
      </w:pPr>
    </w:p>
    <w:p>
      <w:pPr>
        <w:spacing w:line="440" w:lineRule="exact"/>
        <w:jc w:val="left"/>
        <w:rPr>
          <w:rFonts w:hint="eastAsia" w:asciiTheme="majorEastAsia" w:hAnsiTheme="majorEastAsia" w:eastAsiaTheme="majorEastAsia" w:cstheme="majorEastAsia"/>
          <w:sz w:val="30"/>
          <w:szCs w:val="30"/>
          <w:lang w:val="en-US" w:eastAsia="zh-CN"/>
        </w:rPr>
      </w:pPr>
      <w:r>
        <w:rPr>
          <w:rFonts w:hint="eastAsia" w:asciiTheme="majorEastAsia" w:hAnsiTheme="majorEastAsia" w:eastAsiaTheme="majorEastAsia" w:cstheme="majorEastAsia"/>
          <w:sz w:val="30"/>
          <w:szCs w:val="30"/>
        </w:rPr>
        <w:t>附件</w:t>
      </w:r>
      <w:r>
        <w:rPr>
          <w:rFonts w:hint="eastAsia" w:asciiTheme="majorEastAsia" w:hAnsiTheme="majorEastAsia" w:eastAsiaTheme="majorEastAsia" w:cstheme="majorEastAsia"/>
          <w:sz w:val="30"/>
          <w:szCs w:val="30"/>
          <w:lang w:val="en-US" w:eastAsia="zh-CN"/>
        </w:rPr>
        <w:t>6</w:t>
      </w:r>
    </w:p>
    <w:p>
      <w:pPr>
        <w:spacing w:line="440" w:lineRule="exact"/>
        <w:ind w:firstLine="900" w:firstLineChars="300"/>
        <w:jc w:val="left"/>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州级预算部门社会保险基金预算支出绩效自评表</w:t>
      </w:r>
    </w:p>
    <w:p>
      <w:pPr>
        <w:spacing w:line="440" w:lineRule="exact"/>
        <w:ind w:firstLine="2400" w:firstLineChars="800"/>
        <w:jc w:val="left"/>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 xml:space="preserve">（  </w:t>
      </w:r>
      <w:r>
        <w:rPr>
          <w:rFonts w:hint="eastAsia" w:asciiTheme="majorEastAsia" w:hAnsiTheme="majorEastAsia" w:eastAsiaTheme="majorEastAsia" w:cstheme="majorEastAsia"/>
          <w:sz w:val="30"/>
          <w:szCs w:val="30"/>
          <w:lang w:val="en-US" w:eastAsia="zh-CN"/>
        </w:rPr>
        <w:t>2022</w:t>
      </w:r>
      <w:r>
        <w:rPr>
          <w:rFonts w:hint="eastAsia" w:asciiTheme="majorEastAsia" w:hAnsiTheme="majorEastAsia" w:eastAsiaTheme="majorEastAsia" w:cstheme="majorEastAsia"/>
          <w:sz w:val="30"/>
          <w:szCs w:val="30"/>
        </w:rPr>
        <w:t xml:space="preserve"> 年度）</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1074"/>
        <w:gridCol w:w="1075"/>
        <w:gridCol w:w="1143"/>
        <w:gridCol w:w="1202"/>
        <w:gridCol w:w="1129"/>
        <w:gridCol w:w="824"/>
        <w:gridCol w:w="869"/>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社会保险基金预算支出名称</w:t>
            </w:r>
          </w:p>
        </w:tc>
        <w:tc>
          <w:tcPr>
            <w:tcW w:w="8727" w:type="dxa"/>
            <w:gridSpan w:val="8"/>
            <w:tcBorders>
              <w:top w:val="single" w:color="auto" w:sz="4" w:space="0"/>
              <w:left w:val="nil"/>
              <w:bottom w:val="single" w:color="auto" w:sz="4" w:space="0"/>
              <w:right w:val="single" w:color="auto" w:sz="4" w:space="0"/>
            </w:tcBorders>
            <w:noWrap w:val="0"/>
            <w:vAlign w:val="center"/>
          </w:tcPr>
          <w:p>
            <w:pPr>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b/>
                <w:bCs/>
                <w:color w:val="000000"/>
                <w:sz w:val="18"/>
                <w:szCs w:val="18"/>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主管部门</w:t>
            </w:r>
          </w:p>
        </w:tc>
        <w:tc>
          <w:tcPr>
            <w:tcW w:w="4494" w:type="dxa"/>
            <w:gridSpan w:val="4"/>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1129" w:type="dxa"/>
            <w:tcBorders>
              <w:top w:val="single" w:color="auto" w:sz="4" w:space="0"/>
              <w:left w:val="nil"/>
              <w:bottom w:val="single" w:color="auto" w:sz="4" w:space="0"/>
              <w:right w:val="single" w:color="auto" w:sz="4" w:space="0"/>
            </w:tcBorders>
            <w:noWrap w:val="0"/>
            <w:vAlign w:val="center"/>
          </w:tcPr>
          <w:p>
            <w:pPr>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实施单位</w:t>
            </w:r>
          </w:p>
        </w:tc>
        <w:tc>
          <w:tcPr>
            <w:tcW w:w="3104" w:type="dxa"/>
            <w:gridSpan w:val="3"/>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jc w:val="center"/>
              <w:rPr>
                <w:rFonts w:hint="eastAsia" w:asciiTheme="majorEastAsia" w:hAnsiTheme="majorEastAsia" w:eastAsiaTheme="majorEastAsia" w:cstheme="majorEastAsia"/>
                <w:color w:val="000000"/>
                <w:sz w:val="18"/>
                <w:szCs w:val="18"/>
                <w:lang w:eastAsia="zh-CN"/>
              </w:rPr>
            </w:pPr>
            <w:r>
              <w:rPr>
                <w:rFonts w:hint="eastAsia" w:asciiTheme="majorEastAsia" w:hAnsiTheme="majorEastAsia" w:eastAsiaTheme="majorEastAsia" w:cstheme="majorEastAsia"/>
                <w:color w:val="000000"/>
                <w:sz w:val="18"/>
                <w:szCs w:val="18"/>
              </w:rPr>
              <w:t>项目资金</w:t>
            </w:r>
          </w:p>
          <w:p>
            <w:pPr>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（万元）</w:t>
            </w: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1143" w:type="dxa"/>
            <w:tcBorders>
              <w:top w:val="single" w:color="auto" w:sz="4" w:space="0"/>
              <w:left w:val="nil"/>
              <w:bottom w:val="single" w:color="auto" w:sz="4" w:space="0"/>
              <w:right w:val="single" w:color="auto" w:sz="4" w:space="0"/>
            </w:tcBorders>
            <w:noWrap w:val="0"/>
            <w:vAlign w:val="center"/>
          </w:tcPr>
          <w:p>
            <w:pPr>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年初</w:t>
            </w:r>
          </w:p>
          <w:p>
            <w:pPr>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预算数</w:t>
            </w:r>
          </w:p>
        </w:tc>
        <w:tc>
          <w:tcPr>
            <w:tcW w:w="1202" w:type="dxa"/>
            <w:tcBorders>
              <w:top w:val="single" w:color="auto" w:sz="4" w:space="0"/>
              <w:left w:val="nil"/>
              <w:bottom w:val="single" w:color="auto" w:sz="4" w:space="0"/>
              <w:right w:val="single" w:color="auto" w:sz="4" w:space="0"/>
            </w:tcBorders>
            <w:noWrap w:val="0"/>
            <w:vAlign w:val="center"/>
          </w:tcPr>
          <w:p>
            <w:pPr>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全年</w:t>
            </w:r>
          </w:p>
          <w:p>
            <w:pPr>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预算数</w:t>
            </w:r>
          </w:p>
        </w:tc>
        <w:tc>
          <w:tcPr>
            <w:tcW w:w="1129" w:type="dxa"/>
            <w:tcBorders>
              <w:top w:val="single" w:color="auto" w:sz="4" w:space="0"/>
              <w:left w:val="nil"/>
              <w:bottom w:val="single" w:color="auto" w:sz="4" w:space="0"/>
              <w:right w:val="single" w:color="auto" w:sz="4" w:space="0"/>
            </w:tcBorders>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全年</w:t>
            </w:r>
          </w:p>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执行数</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分值</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执行率</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xml:space="preserve">年度资金总额 </w:t>
            </w: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xml:space="preserve"> 10</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xml:space="preserve">其中：当年财政拨款 </w:t>
            </w: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sz w:val="18"/>
                <w:szCs w:val="18"/>
              </w:rPr>
              <w:t>——</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sz w:val="18"/>
                <w:szCs w:val="18"/>
              </w:rPr>
              <w:t>——</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2149" w:type="dxa"/>
            <w:gridSpan w:val="2"/>
            <w:tcBorders>
              <w:top w:val="single" w:color="auto" w:sz="4" w:space="0"/>
              <w:left w:val="nil"/>
              <w:bottom w:val="single" w:color="auto" w:sz="4" w:space="0"/>
              <w:right w:val="single" w:color="auto" w:sz="4" w:space="0"/>
            </w:tcBorders>
            <w:noWrap w:val="0"/>
            <w:vAlign w:val="center"/>
          </w:tcPr>
          <w:p>
            <w:pPr>
              <w:ind w:firstLine="540" w:firstLineChars="300"/>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xml:space="preserve">上年结转资金 </w:t>
            </w: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sz w:val="18"/>
                <w:szCs w:val="18"/>
              </w:rPr>
              <w:t>——</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sz w:val="18"/>
                <w:szCs w:val="18"/>
              </w:rPr>
              <w:t>——</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2149" w:type="dxa"/>
            <w:gridSpan w:val="2"/>
            <w:tcBorders>
              <w:top w:val="single" w:color="auto" w:sz="4" w:space="0"/>
              <w:left w:val="nil"/>
              <w:bottom w:val="single" w:color="auto" w:sz="4" w:space="0"/>
              <w:right w:val="single" w:color="auto" w:sz="4" w:space="0"/>
            </w:tcBorders>
            <w:noWrap w:val="0"/>
            <w:vAlign w:val="center"/>
          </w:tcPr>
          <w:p>
            <w:pPr>
              <w:ind w:firstLine="540" w:firstLineChars="300"/>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其他资金</w:t>
            </w: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sz w:val="18"/>
                <w:szCs w:val="18"/>
              </w:rPr>
              <w:t>——</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sz w:val="18"/>
                <w:szCs w:val="18"/>
              </w:rPr>
              <w:t>——</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年度总体目标</w:t>
            </w:r>
          </w:p>
        </w:tc>
        <w:tc>
          <w:tcPr>
            <w:tcW w:w="4494" w:type="dxa"/>
            <w:gridSpan w:val="4"/>
            <w:tcBorders>
              <w:top w:val="single" w:color="auto" w:sz="4" w:space="0"/>
              <w:left w:val="nil"/>
              <w:bottom w:val="single" w:color="auto" w:sz="4" w:space="0"/>
              <w:right w:val="single" w:color="auto" w:sz="4" w:space="0"/>
            </w:tcBorders>
            <w:noWrap w:val="0"/>
            <w:vAlign w:val="center"/>
          </w:tcPr>
          <w:p>
            <w:pPr>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预期目标</w:t>
            </w:r>
          </w:p>
        </w:tc>
        <w:tc>
          <w:tcPr>
            <w:tcW w:w="4233" w:type="dxa"/>
            <w:gridSpan w:val="4"/>
            <w:tcBorders>
              <w:top w:val="single" w:color="auto" w:sz="4" w:space="0"/>
              <w:left w:val="nil"/>
              <w:bottom w:val="single" w:color="auto" w:sz="4" w:space="0"/>
              <w:right w:val="single" w:color="auto" w:sz="4" w:space="0"/>
            </w:tcBorders>
            <w:noWrap w:val="0"/>
            <w:vAlign w:val="center"/>
          </w:tcPr>
          <w:p>
            <w:pPr>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xml:space="preserve">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4494" w:type="dxa"/>
            <w:gridSpan w:val="4"/>
            <w:tcBorders>
              <w:top w:val="single" w:color="auto" w:sz="4" w:space="0"/>
              <w:left w:val="nil"/>
              <w:bottom w:val="single" w:color="auto" w:sz="4" w:space="0"/>
              <w:right w:val="single" w:color="auto" w:sz="4" w:space="0"/>
            </w:tcBorders>
            <w:noWrap w:val="0"/>
            <w:vAlign w:val="center"/>
          </w:tcPr>
          <w:p>
            <w:pPr>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xml:space="preserve">  </w:t>
            </w:r>
          </w:p>
        </w:tc>
        <w:tc>
          <w:tcPr>
            <w:tcW w:w="4233" w:type="dxa"/>
            <w:gridSpan w:val="4"/>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绩</w:t>
            </w:r>
          </w:p>
          <w:p>
            <w:pPr>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效</w:t>
            </w:r>
          </w:p>
          <w:p>
            <w:pPr>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指</w:t>
            </w:r>
          </w:p>
          <w:p>
            <w:pPr>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标</w:t>
            </w:r>
          </w:p>
        </w:tc>
        <w:tc>
          <w:tcPr>
            <w:tcW w:w="107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一级指标</w:t>
            </w:r>
          </w:p>
        </w:tc>
        <w:tc>
          <w:tcPr>
            <w:tcW w:w="107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二级指标</w:t>
            </w:r>
          </w:p>
        </w:tc>
        <w:tc>
          <w:tcPr>
            <w:tcW w:w="1143"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三级指标</w:t>
            </w:r>
          </w:p>
        </w:tc>
        <w:tc>
          <w:tcPr>
            <w:tcW w:w="1202"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年度</w:t>
            </w:r>
          </w:p>
          <w:p>
            <w:pPr>
              <w:spacing w:line="240" w:lineRule="exact"/>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指标值</w:t>
            </w:r>
          </w:p>
        </w:tc>
        <w:tc>
          <w:tcPr>
            <w:tcW w:w="112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实际</w:t>
            </w:r>
          </w:p>
          <w:p>
            <w:pPr>
              <w:spacing w:line="240" w:lineRule="exact"/>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完成值</w:t>
            </w:r>
          </w:p>
        </w:tc>
        <w:tc>
          <w:tcPr>
            <w:tcW w:w="82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分值</w:t>
            </w:r>
          </w:p>
        </w:tc>
        <w:tc>
          <w:tcPr>
            <w:tcW w:w="86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得分</w:t>
            </w:r>
          </w:p>
        </w:tc>
        <w:tc>
          <w:tcPr>
            <w:tcW w:w="1411"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偏差原因</w:t>
            </w:r>
          </w:p>
          <w:p>
            <w:pPr>
              <w:spacing w:line="240" w:lineRule="exact"/>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分析及</w:t>
            </w:r>
          </w:p>
          <w:p>
            <w:pPr>
              <w:spacing w:line="240" w:lineRule="exact"/>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1074" w:type="dxa"/>
            <w:vMerge w:val="restart"/>
            <w:tcBorders>
              <w:top w:val="nil"/>
              <w:left w:val="nil"/>
              <w:bottom w:val="single" w:color="auto" w:sz="4" w:space="0"/>
              <w:right w:val="single" w:color="auto" w:sz="4" w:space="0"/>
            </w:tcBorders>
            <w:noWrap w:val="0"/>
            <w:vAlign w:val="center"/>
          </w:tcPr>
          <w:p>
            <w:pPr>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产出指标</w:t>
            </w:r>
          </w:p>
          <w:p>
            <w:pPr>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(50分)</w:t>
            </w:r>
          </w:p>
        </w:tc>
        <w:tc>
          <w:tcPr>
            <w:tcW w:w="1075" w:type="dxa"/>
            <w:vMerge w:val="restart"/>
            <w:tcBorders>
              <w:top w:val="nil"/>
              <w:left w:val="nil"/>
              <w:bottom w:val="single" w:color="auto" w:sz="4" w:space="0"/>
              <w:right w:val="single" w:color="auto" w:sz="4" w:space="0"/>
            </w:tcBorders>
            <w:noWrap w:val="0"/>
            <w:vAlign w:val="center"/>
          </w:tcPr>
          <w:p>
            <w:pPr>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数量指标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1075" w:type="dxa"/>
            <w:vMerge w:val="continue"/>
            <w:tcBorders>
              <w:top w:val="nil"/>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1075" w:type="dxa"/>
            <w:vMerge w:val="restart"/>
            <w:tcBorders>
              <w:top w:val="nil"/>
              <w:left w:val="nil"/>
              <w:bottom w:val="single" w:color="auto" w:sz="4" w:space="0"/>
              <w:right w:val="single" w:color="auto" w:sz="4" w:space="0"/>
            </w:tcBorders>
            <w:noWrap w:val="0"/>
            <w:vAlign w:val="center"/>
          </w:tcPr>
          <w:p>
            <w:pPr>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质量指标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1075" w:type="dxa"/>
            <w:vMerge w:val="continue"/>
            <w:tcBorders>
              <w:top w:val="nil"/>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1075" w:type="dxa"/>
            <w:vMerge w:val="restart"/>
            <w:tcBorders>
              <w:top w:val="nil"/>
              <w:left w:val="nil"/>
              <w:bottom w:val="single" w:color="auto" w:sz="4" w:space="0"/>
              <w:right w:val="single" w:color="auto" w:sz="4" w:space="0"/>
            </w:tcBorders>
            <w:noWrap w:val="0"/>
            <w:vAlign w:val="center"/>
          </w:tcPr>
          <w:p>
            <w:pPr>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时效指标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1075" w:type="dxa"/>
            <w:vMerge w:val="continue"/>
            <w:tcBorders>
              <w:top w:val="nil"/>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1075" w:type="dxa"/>
            <w:vMerge w:val="restart"/>
            <w:tcBorders>
              <w:top w:val="nil"/>
              <w:left w:val="nil"/>
              <w:bottom w:val="single" w:color="auto" w:sz="4" w:space="0"/>
              <w:right w:val="single" w:color="auto" w:sz="4" w:space="0"/>
            </w:tcBorders>
            <w:noWrap w:val="0"/>
            <w:vAlign w:val="center"/>
          </w:tcPr>
          <w:p>
            <w:pPr>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成本指标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1075" w:type="dxa"/>
            <w:vMerge w:val="continue"/>
            <w:tcBorders>
              <w:top w:val="nil"/>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1074" w:type="dxa"/>
            <w:vMerge w:val="restart"/>
            <w:tcBorders>
              <w:top w:val="nil"/>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效益指标</w:t>
            </w:r>
          </w:p>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（30分）</w:t>
            </w:r>
          </w:p>
        </w:tc>
        <w:tc>
          <w:tcPr>
            <w:tcW w:w="1075" w:type="dxa"/>
            <w:vMerge w:val="restart"/>
            <w:tcBorders>
              <w:top w:val="nil"/>
              <w:left w:val="nil"/>
              <w:bottom w:val="single" w:color="auto" w:sz="4" w:space="0"/>
              <w:right w:val="single" w:color="auto" w:sz="4" w:space="0"/>
            </w:tcBorders>
            <w:noWrap w:val="0"/>
            <w:vAlign w:val="center"/>
          </w:tcPr>
          <w:p>
            <w:pPr>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经济效</w:t>
            </w:r>
          </w:p>
          <w:p>
            <w:pPr>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益指标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1075" w:type="dxa"/>
            <w:vMerge w:val="continue"/>
            <w:tcBorders>
              <w:top w:val="nil"/>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1075" w:type="dxa"/>
            <w:vMerge w:val="restart"/>
            <w:tcBorders>
              <w:top w:val="nil"/>
              <w:left w:val="nil"/>
              <w:bottom w:val="single" w:color="auto" w:sz="4" w:space="0"/>
              <w:right w:val="single" w:color="auto" w:sz="4" w:space="0"/>
            </w:tcBorders>
            <w:noWrap w:val="0"/>
            <w:vAlign w:val="center"/>
          </w:tcPr>
          <w:p>
            <w:pPr>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社会效</w:t>
            </w:r>
          </w:p>
          <w:p>
            <w:pPr>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益指标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1075" w:type="dxa"/>
            <w:vMerge w:val="continue"/>
            <w:tcBorders>
              <w:top w:val="nil"/>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1075" w:type="dxa"/>
            <w:vMerge w:val="restart"/>
            <w:tcBorders>
              <w:top w:val="nil"/>
              <w:left w:val="nil"/>
              <w:bottom w:val="single" w:color="auto" w:sz="4" w:space="0"/>
              <w:right w:val="single" w:color="auto" w:sz="4" w:space="0"/>
            </w:tcBorders>
            <w:noWrap w:val="0"/>
            <w:vAlign w:val="center"/>
          </w:tcPr>
          <w:p>
            <w:pPr>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生态效</w:t>
            </w:r>
          </w:p>
          <w:p>
            <w:pPr>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益指标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1075" w:type="dxa"/>
            <w:vMerge w:val="continue"/>
            <w:tcBorders>
              <w:top w:val="nil"/>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1075" w:type="dxa"/>
            <w:vMerge w:val="restart"/>
            <w:tcBorders>
              <w:top w:val="nil"/>
              <w:left w:val="nil"/>
              <w:bottom w:val="single" w:color="auto" w:sz="4" w:space="0"/>
              <w:right w:val="single" w:color="auto" w:sz="4" w:space="0"/>
            </w:tcBorders>
            <w:noWrap w:val="0"/>
            <w:vAlign w:val="center"/>
          </w:tcPr>
          <w:p>
            <w:pPr>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可持续影响指标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1075" w:type="dxa"/>
            <w:vMerge w:val="continue"/>
            <w:tcBorders>
              <w:top w:val="nil"/>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1074" w:type="dxa"/>
            <w:vMerge w:val="restart"/>
            <w:tcBorders>
              <w:top w:val="nil"/>
              <w:left w:val="nil"/>
              <w:bottom w:val="single" w:color="auto" w:sz="4" w:space="0"/>
              <w:right w:val="single" w:color="auto" w:sz="4" w:space="0"/>
            </w:tcBorders>
            <w:noWrap w:val="0"/>
            <w:vAlign w:val="center"/>
          </w:tcPr>
          <w:p>
            <w:pPr>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满意度</w:t>
            </w:r>
          </w:p>
          <w:p>
            <w:pPr>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指标</w:t>
            </w:r>
          </w:p>
          <w:p>
            <w:pPr>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（10分）</w:t>
            </w:r>
          </w:p>
        </w:tc>
        <w:tc>
          <w:tcPr>
            <w:tcW w:w="1075" w:type="dxa"/>
            <w:vMerge w:val="restart"/>
            <w:tcBorders>
              <w:top w:val="nil"/>
              <w:left w:val="nil"/>
              <w:bottom w:val="single" w:color="auto" w:sz="4" w:space="0"/>
              <w:right w:val="single" w:color="auto" w:sz="4" w:space="0"/>
            </w:tcBorders>
            <w:noWrap w:val="0"/>
            <w:vAlign w:val="center"/>
          </w:tcPr>
          <w:p>
            <w:pPr>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服务对象满意度指标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1075" w:type="dxa"/>
            <w:vMerge w:val="continue"/>
            <w:tcBorders>
              <w:top w:val="nil"/>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6697"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总分</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100</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　</w:t>
            </w:r>
          </w:p>
        </w:tc>
      </w:tr>
    </w:tbl>
    <w:p>
      <w:pPr>
        <w:spacing w:before="120" w:beforeLines="50"/>
        <w:jc w:val="left"/>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说明：每个一级社会保险基金预算支出填写一张社会保险基金预算支出绩效自评表。</w:t>
      </w:r>
    </w:p>
    <w:p>
      <w:pPr>
        <w:spacing w:before="156" w:beforeLines="50"/>
        <w:jc w:val="left"/>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rPr>
        <w:t>单位负责人签字：</w:t>
      </w:r>
      <w:r>
        <w:rPr>
          <w:rFonts w:hint="eastAsia" w:asciiTheme="majorEastAsia" w:hAnsiTheme="majorEastAsia" w:eastAsiaTheme="majorEastAsia" w:cstheme="majorEastAsia"/>
          <w:sz w:val="18"/>
          <w:szCs w:val="18"/>
          <w:lang w:eastAsia="zh-CN"/>
        </w:rPr>
        <w:t>杨凌</w:t>
      </w:r>
      <w:r>
        <w:rPr>
          <w:rFonts w:hint="eastAsia" w:asciiTheme="majorEastAsia" w:hAnsiTheme="majorEastAsia" w:eastAsiaTheme="majorEastAsia" w:cstheme="majorEastAsia"/>
          <w:sz w:val="18"/>
          <w:szCs w:val="18"/>
          <w:lang w:val="en-US" w:eastAsia="zh-CN"/>
        </w:rPr>
        <w:t xml:space="preserve">   </w:t>
      </w:r>
      <w:r>
        <w:rPr>
          <w:rFonts w:hint="eastAsia" w:asciiTheme="majorEastAsia" w:hAnsiTheme="majorEastAsia" w:eastAsiaTheme="majorEastAsia" w:cstheme="majorEastAsia"/>
          <w:sz w:val="18"/>
          <w:szCs w:val="18"/>
        </w:rPr>
        <w:t xml:space="preserve"> 填表人：</w:t>
      </w:r>
      <w:r>
        <w:rPr>
          <w:rFonts w:hint="eastAsia" w:asciiTheme="majorEastAsia" w:hAnsiTheme="majorEastAsia" w:eastAsiaTheme="majorEastAsia" w:cstheme="majorEastAsia"/>
          <w:sz w:val="18"/>
          <w:szCs w:val="18"/>
          <w:lang w:eastAsia="zh-CN"/>
        </w:rPr>
        <w:t>彭艳</w:t>
      </w:r>
      <w:r>
        <w:rPr>
          <w:rFonts w:hint="eastAsia" w:asciiTheme="majorEastAsia" w:hAnsiTheme="majorEastAsia" w:eastAsiaTheme="majorEastAsia" w:cstheme="majorEastAsia"/>
          <w:sz w:val="18"/>
          <w:szCs w:val="18"/>
          <w:lang w:val="en-US" w:eastAsia="zh-CN"/>
        </w:rPr>
        <w:t xml:space="preserve">     </w:t>
      </w:r>
      <w:r>
        <w:rPr>
          <w:rFonts w:hint="eastAsia" w:asciiTheme="majorEastAsia" w:hAnsiTheme="majorEastAsia" w:eastAsiaTheme="majorEastAsia" w:cstheme="majorEastAsia"/>
          <w:sz w:val="18"/>
          <w:szCs w:val="18"/>
        </w:rPr>
        <w:t>联系电话：</w:t>
      </w:r>
      <w:r>
        <w:rPr>
          <w:rFonts w:hint="eastAsia" w:asciiTheme="majorEastAsia" w:hAnsiTheme="majorEastAsia" w:eastAsiaTheme="majorEastAsia" w:cstheme="majorEastAsia"/>
          <w:sz w:val="18"/>
          <w:szCs w:val="18"/>
          <w:lang w:val="en-US" w:eastAsia="zh-CN"/>
        </w:rPr>
        <w:t xml:space="preserve">8528269      </w:t>
      </w:r>
      <w:r>
        <w:rPr>
          <w:rFonts w:hint="eastAsia" w:asciiTheme="majorEastAsia" w:hAnsiTheme="majorEastAsia" w:eastAsiaTheme="majorEastAsia" w:cstheme="majorEastAsia"/>
          <w:sz w:val="18"/>
          <w:szCs w:val="18"/>
        </w:rPr>
        <w:t>填报日期：202</w:t>
      </w:r>
      <w:r>
        <w:rPr>
          <w:rFonts w:hint="eastAsia" w:asciiTheme="majorEastAsia" w:hAnsiTheme="majorEastAsia" w:eastAsiaTheme="majorEastAsia" w:cstheme="majorEastAsia"/>
          <w:sz w:val="18"/>
          <w:szCs w:val="18"/>
          <w:lang w:val="en-US" w:eastAsia="zh-CN"/>
        </w:rPr>
        <w:t>3</w:t>
      </w:r>
      <w:r>
        <w:rPr>
          <w:rFonts w:hint="eastAsia" w:asciiTheme="majorEastAsia" w:hAnsiTheme="majorEastAsia" w:eastAsiaTheme="majorEastAsia" w:cstheme="majorEastAsia"/>
          <w:sz w:val="18"/>
          <w:szCs w:val="18"/>
        </w:rPr>
        <w:t xml:space="preserve">年 </w:t>
      </w:r>
      <w:r>
        <w:rPr>
          <w:rFonts w:hint="eastAsia" w:asciiTheme="majorEastAsia" w:hAnsiTheme="majorEastAsia" w:eastAsiaTheme="majorEastAsia" w:cstheme="majorEastAsia"/>
          <w:sz w:val="18"/>
          <w:szCs w:val="18"/>
          <w:lang w:val="en-US" w:eastAsia="zh-CN"/>
        </w:rPr>
        <w:t>6</w:t>
      </w:r>
      <w:r>
        <w:rPr>
          <w:rFonts w:hint="eastAsia" w:asciiTheme="majorEastAsia" w:hAnsiTheme="majorEastAsia" w:eastAsiaTheme="majorEastAsia" w:cstheme="majorEastAsia"/>
          <w:sz w:val="18"/>
          <w:szCs w:val="18"/>
        </w:rPr>
        <w:t>月</w:t>
      </w:r>
      <w:r>
        <w:rPr>
          <w:rFonts w:hint="eastAsia" w:asciiTheme="majorEastAsia" w:hAnsiTheme="majorEastAsia" w:eastAsiaTheme="majorEastAsia" w:cstheme="majorEastAsia"/>
          <w:sz w:val="18"/>
          <w:szCs w:val="18"/>
          <w:lang w:val="en-US" w:eastAsia="zh-CN"/>
        </w:rPr>
        <w:t>1日</w:t>
      </w:r>
    </w:p>
    <w:p>
      <w:pPr>
        <w:pStyle w:val="2"/>
        <w:rPr>
          <w:rFonts w:hint="eastAsia"/>
          <w:lang w:val="en-US" w:eastAsia="zh-CN"/>
        </w:rPr>
      </w:pPr>
      <w:bookmarkStart w:id="6" w:name="_GoBack"/>
      <w:bookmarkEnd w:id="6"/>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decorative"/>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 w:name="Nimbus Roman No9 L">
    <w:panose1 w:val="00000000000000000000"/>
    <w:charset w:val="00"/>
    <w:family w:val="auto"/>
    <w:pitch w:val="default"/>
    <w:sig w:usb0="00000000" w:usb1="00000000" w:usb2="00000000" w:usb3="00000000" w:csb0="00000000" w:csb1="00000000"/>
  </w:font>
  <w:font w:name="FreeSerif">
    <w:panose1 w:val="02020603050405020304"/>
    <w:charset w:val="00"/>
    <w:family w:val="auto"/>
    <w:pitch w:val="default"/>
    <w:sig w:usb0="E59FAFFF" w:usb1="C200FDFF" w:usb2="43501B29" w:usb3="04000043" w:csb0="6001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CFCFF4E"/>
    <w:multiLevelType w:val="singleLevel"/>
    <w:tmpl w:val="CCFCFF4E"/>
    <w:lvl w:ilvl="0" w:tentative="0">
      <w:start w:val="4"/>
      <w:numFmt w:val="chineseCounting"/>
      <w:suff w:val="nothing"/>
      <w:lvlText w:val="%1、"/>
      <w:lvlJc w:val="left"/>
      <w:rPr>
        <w:rFonts w:hint="eastAsia"/>
      </w:rPr>
    </w:lvl>
  </w:abstractNum>
  <w:abstractNum w:abstractNumId="1">
    <w:nsid w:val="E25FADA2"/>
    <w:multiLevelType w:val="singleLevel"/>
    <w:tmpl w:val="E25FADA2"/>
    <w:lvl w:ilvl="0" w:tentative="0">
      <w:start w:val="2"/>
      <w:numFmt w:val="chineseCounting"/>
      <w:suff w:val="nothing"/>
      <w:lvlText w:val="（%1）"/>
      <w:lvlJc w:val="left"/>
      <w:rPr>
        <w:rFonts w:hint="eastAsia"/>
      </w:rPr>
    </w:lvl>
  </w:abstractNum>
  <w:abstractNum w:abstractNumId="2">
    <w:nsid w:val="EDDE554A"/>
    <w:multiLevelType w:val="singleLevel"/>
    <w:tmpl w:val="EDDE554A"/>
    <w:lvl w:ilvl="0" w:tentative="0">
      <w:start w:val="1"/>
      <w:numFmt w:val="decimal"/>
      <w:suff w:val="nothing"/>
      <w:lvlText w:val="%1、"/>
      <w:lvlJc w:val="left"/>
    </w:lvl>
  </w:abstractNum>
  <w:abstractNum w:abstractNumId="3">
    <w:nsid w:val="FD9D2F86"/>
    <w:multiLevelType w:val="singleLevel"/>
    <w:tmpl w:val="FD9D2F86"/>
    <w:lvl w:ilvl="0" w:tentative="0">
      <w:start w:val="1"/>
      <w:numFmt w:val="decimal"/>
      <w:suff w:val="nothing"/>
      <w:lvlText w:val="%1、"/>
      <w:lvlJc w:val="left"/>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TrueTypeFonts/>
  <w:saveSubsetFonts/>
  <w:bordersDoNotSurroundHeader w:val="false"/>
  <w:bordersDoNotSurroundFooter w:val="false"/>
  <w:documentProtection w:enforcement="0"/>
  <w:defaultTabStop w:val="420"/>
  <w:drawingGridVerticalSpacing w:val="159"/>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xN2I3YTc4MDNiZTM5NTYzZWEwMWQ3NmM5OWQ0ZmMifQ=="/>
  </w:docVars>
  <w:rsids>
    <w:rsidRoot w:val="709352C9"/>
    <w:rsid w:val="01D476E9"/>
    <w:rsid w:val="04281941"/>
    <w:rsid w:val="06344057"/>
    <w:rsid w:val="07996DB9"/>
    <w:rsid w:val="08257567"/>
    <w:rsid w:val="0BAD225D"/>
    <w:rsid w:val="0BDF403B"/>
    <w:rsid w:val="0CAFFD3C"/>
    <w:rsid w:val="0CF14813"/>
    <w:rsid w:val="0D307327"/>
    <w:rsid w:val="0ED4568F"/>
    <w:rsid w:val="0F7BC73A"/>
    <w:rsid w:val="0FE58224"/>
    <w:rsid w:val="10695004"/>
    <w:rsid w:val="10E32902"/>
    <w:rsid w:val="110D7B84"/>
    <w:rsid w:val="12BF27C6"/>
    <w:rsid w:val="13177B2F"/>
    <w:rsid w:val="14B270BA"/>
    <w:rsid w:val="162B0853"/>
    <w:rsid w:val="16C71A4D"/>
    <w:rsid w:val="177FA0E1"/>
    <w:rsid w:val="17F11DA8"/>
    <w:rsid w:val="17FB908F"/>
    <w:rsid w:val="18DF11DC"/>
    <w:rsid w:val="19ED518E"/>
    <w:rsid w:val="1A1F7616"/>
    <w:rsid w:val="1A204BC7"/>
    <w:rsid w:val="1A7FC1C4"/>
    <w:rsid w:val="1CB3FD34"/>
    <w:rsid w:val="1CB82E95"/>
    <w:rsid w:val="1D6E08A9"/>
    <w:rsid w:val="1D7708D7"/>
    <w:rsid w:val="1DBE3A23"/>
    <w:rsid w:val="1E571ADD"/>
    <w:rsid w:val="1F766AA8"/>
    <w:rsid w:val="1FE7E121"/>
    <w:rsid w:val="1FF42C78"/>
    <w:rsid w:val="1FF839D3"/>
    <w:rsid w:val="21264A27"/>
    <w:rsid w:val="228A7081"/>
    <w:rsid w:val="24157917"/>
    <w:rsid w:val="2773FEF2"/>
    <w:rsid w:val="28D56457"/>
    <w:rsid w:val="29127E38"/>
    <w:rsid w:val="291E5AE2"/>
    <w:rsid w:val="297FCB9C"/>
    <w:rsid w:val="2A2D26F8"/>
    <w:rsid w:val="2A332BDB"/>
    <w:rsid w:val="2A4F3821"/>
    <w:rsid w:val="2B4F5AF6"/>
    <w:rsid w:val="2C1F2CF0"/>
    <w:rsid w:val="2C882884"/>
    <w:rsid w:val="2D3F5A9B"/>
    <w:rsid w:val="2DCB1F72"/>
    <w:rsid w:val="2DDFEBB1"/>
    <w:rsid w:val="2DF595F5"/>
    <w:rsid w:val="2E674664"/>
    <w:rsid w:val="2F3775C7"/>
    <w:rsid w:val="2F7DDAE7"/>
    <w:rsid w:val="2F923E53"/>
    <w:rsid w:val="2F9D7440"/>
    <w:rsid w:val="2FE8197A"/>
    <w:rsid w:val="31592A40"/>
    <w:rsid w:val="31DB0ACD"/>
    <w:rsid w:val="32026A50"/>
    <w:rsid w:val="337BBE34"/>
    <w:rsid w:val="33CFF1E2"/>
    <w:rsid w:val="33D1693A"/>
    <w:rsid w:val="34461109"/>
    <w:rsid w:val="35BE4BB7"/>
    <w:rsid w:val="35BF7E7A"/>
    <w:rsid w:val="35EF3078"/>
    <w:rsid w:val="361602B0"/>
    <w:rsid w:val="36CD4BCD"/>
    <w:rsid w:val="36EF1CBB"/>
    <w:rsid w:val="38B76F8E"/>
    <w:rsid w:val="39F30848"/>
    <w:rsid w:val="39F35FD7"/>
    <w:rsid w:val="3A856C8B"/>
    <w:rsid w:val="3AA0115C"/>
    <w:rsid w:val="3AFF7258"/>
    <w:rsid w:val="3AFFC3E4"/>
    <w:rsid w:val="3B4F9CEB"/>
    <w:rsid w:val="3B6A1F8B"/>
    <w:rsid w:val="3B7E1F24"/>
    <w:rsid w:val="3B930A10"/>
    <w:rsid w:val="3B9725D2"/>
    <w:rsid w:val="3BBF1DED"/>
    <w:rsid w:val="3CEF1B62"/>
    <w:rsid w:val="3CFF8B62"/>
    <w:rsid w:val="3D36588D"/>
    <w:rsid w:val="3D7338E2"/>
    <w:rsid w:val="3DB363C1"/>
    <w:rsid w:val="3DBFB923"/>
    <w:rsid w:val="3DCFF755"/>
    <w:rsid w:val="3DFEADC9"/>
    <w:rsid w:val="3DFF083D"/>
    <w:rsid w:val="3DFF4769"/>
    <w:rsid w:val="3DFF7DA7"/>
    <w:rsid w:val="3EAA0075"/>
    <w:rsid w:val="3EABEE45"/>
    <w:rsid w:val="3EB3ABDD"/>
    <w:rsid w:val="3EF6C806"/>
    <w:rsid w:val="3EFB4277"/>
    <w:rsid w:val="3F3F75ED"/>
    <w:rsid w:val="3F7BB728"/>
    <w:rsid w:val="3F9E79A4"/>
    <w:rsid w:val="3FBB917D"/>
    <w:rsid w:val="3FCD357C"/>
    <w:rsid w:val="3FDCCF5D"/>
    <w:rsid w:val="3FDF37E7"/>
    <w:rsid w:val="3FEC8EB6"/>
    <w:rsid w:val="3FEE328F"/>
    <w:rsid w:val="3FFBA7F2"/>
    <w:rsid w:val="3FFC1225"/>
    <w:rsid w:val="3FFEFAB4"/>
    <w:rsid w:val="3FFFBF7B"/>
    <w:rsid w:val="401A5553"/>
    <w:rsid w:val="402D656A"/>
    <w:rsid w:val="40B33DB0"/>
    <w:rsid w:val="411E510D"/>
    <w:rsid w:val="42881AEA"/>
    <w:rsid w:val="42BAE5A5"/>
    <w:rsid w:val="43442682"/>
    <w:rsid w:val="43C306BE"/>
    <w:rsid w:val="442B27AA"/>
    <w:rsid w:val="456203BC"/>
    <w:rsid w:val="45D315AC"/>
    <w:rsid w:val="465A0995"/>
    <w:rsid w:val="467557CF"/>
    <w:rsid w:val="47C7566B"/>
    <w:rsid w:val="47D75C58"/>
    <w:rsid w:val="48A46959"/>
    <w:rsid w:val="49192F8E"/>
    <w:rsid w:val="4977B306"/>
    <w:rsid w:val="4AB83F77"/>
    <w:rsid w:val="4B7D3C4F"/>
    <w:rsid w:val="4B7E7DBC"/>
    <w:rsid w:val="4BEB1D39"/>
    <w:rsid w:val="4BF72534"/>
    <w:rsid w:val="4BFD0FB3"/>
    <w:rsid w:val="4C483807"/>
    <w:rsid w:val="4CF878FD"/>
    <w:rsid w:val="4CFD04A4"/>
    <w:rsid w:val="4DCFCEDC"/>
    <w:rsid w:val="4EBEBC64"/>
    <w:rsid w:val="4F213D68"/>
    <w:rsid w:val="4F377141"/>
    <w:rsid w:val="4F645CE4"/>
    <w:rsid w:val="4FEF92F1"/>
    <w:rsid w:val="4FFFFE05"/>
    <w:rsid w:val="502A2414"/>
    <w:rsid w:val="510F1BFD"/>
    <w:rsid w:val="51586419"/>
    <w:rsid w:val="51FFCAC4"/>
    <w:rsid w:val="52647FEB"/>
    <w:rsid w:val="52E58D88"/>
    <w:rsid w:val="538FFE78"/>
    <w:rsid w:val="54684F5D"/>
    <w:rsid w:val="5475680E"/>
    <w:rsid w:val="54BF6AB3"/>
    <w:rsid w:val="55FFB647"/>
    <w:rsid w:val="5673B7D7"/>
    <w:rsid w:val="5693577D"/>
    <w:rsid w:val="56EF5C02"/>
    <w:rsid w:val="56F62C3C"/>
    <w:rsid w:val="56FF1DB1"/>
    <w:rsid w:val="577B18DB"/>
    <w:rsid w:val="577F9AFB"/>
    <w:rsid w:val="57F535F0"/>
    <w:rsid w:val="57F79125"/>
    <w:rsid w:val="57FCB298"/>
    <w:rsid w:val="596A4F3B"/>
    <w:rsid w:val="59BFF7BD"/>
    <w:rsid w:val="59EA7159"/>
    <w:rsid w:val="5A1F749C"/>
    <w:rsid w:val="5A47D140"/>
    <w:rsid w:val="5ACEAFCE"/>
    <w:rsid w:val="5AF7B2BD"/>
    <w:rsid w:val="5B3B0919"/>
    <w:rsid w:val="5B7EC625"/>
    <w:rsid w:val="5C6474B4"/>
    <w:rsid w:val="5D3E30AD"/>
    <w:rsid w:val="5DDC160A"/>
    <w:rsid w:val="5E5EF66D"/>
    <w:rsid w:val="5E9F1215"/>
    <w:rsid w:val="5EB76A3D"/>
    <w:rsid w:val="5ECB9C16"/>
    <w:rsid w:val="5ED7217C"/>
    <w:rsid w:val="5EDF5B58"/>
    <w:rsid w:val="5EE71BA0"/>
    <w:rsid w:val="5F13FA7C"/>
    <w:rsid w:val="5F4EA6FB"/>
    <w:rsid w:val="5F5D6320"/>
    <w:rsid w:val="5F6F3484"/>
    <w:rsid w:val="5F7EE705"/>
    <w:rsid w:val="5F7FF1B2"/>
    <w:rsid w:val="5F97BF36"/>
    <w:rsid w:val="5FB06AE6"/>
    <w:rsid w:val="5FC96344"/>
    <w:rsid w:val="5FDA4259"/>
    <w:rsid w:val="5FF6A911"/>
    <w:rsid w:val="5FFB22E0"/>
    <w:rsid w:val="5FFBC233"/>
    <w:rsid w:val="5FFD5765"/>
    <w:rsid w:val="5FFF0EE3"/>
    <w:rsid w:val="5FFF24D8"/>
    <w:rsid w:val="5FFFD4FE"/>
    <w:rsid w:val="62D37F3E"/>
    <w:rsid w:val="632F8C74"/>
    <w:rsid w:val="63676B7D"/>
    <w:rsid w:val="639E46D5"/>
    <w:rsid w:val="642EBDBE"/>
    <w:rsid w:val="64A52802"/>
    <w:rsid w:val="64BFEEF9"/>
    <w:rsid w:val="64CD45D0"/>
    <w:rsid w:val="64F164A3"/>
    <w:rsid w:val="6524140B"/>
    <w:rsid w:val="65444FCA"/>
    <w:rsid w:val="659D30BB"/>
    <w:rsid w:val="671E7E29"/>
    <w:rsid w:val="67BF6015"/>
    <w:rsid w:val="67C77884"/>
    <w:rsid w:val="67E9D43A"/>
    <w:rsid w:val="67FBDEBE"/>
    <w:rsid w:val="68F7E559"/>
    <w:rsid w:val="697D6F38"/>
    <w:rsid w:val="69C98E3A"/>
    <w:rsid w:val="69E7763D"/>
    <w:rsid w:val="69EA7FA5"/>
    <w:rsid w:val="69FEC69A"/>
    <w:rsid w:val="6B52C6A2"/>
    <w:rsid w:val="6B7F15C3"/>
    <w:rsid w:val="6BBE6210"/>
    <w:rsid w:val="6BBF8DA8"/>
    <w:rsid w:val="6BCBB9E0"/>
    <w:rsid w:val="6BCF66B1"/>
    <w:rsid w:val="6BD7EB50"/>
    <w:rsid w:val="6BEF3455"/>
    <w:rsid w:val="6BF76DBA"/>
    <w:rsid w:val="6BFFF7ED"/>
    <w:rsid w:val="6CB8121B"/>
    <w:rsid w:val="6CBE6CC3"/>
    <w:rsid w:val="6D6BB390"/>
    <w:rsid w:val="6DADB625"/>
    <w:rsid w:val="6DB6E37E"/>
    <w:rsid w:val="6DBF6684"/>
    <w:rsid w:val="6DEF632D"/>
    <w:rsid w:val="6E3684B5"/>
    <w:rsid w:val="6E6F115A"/>
    <w:rsid w:val="6E727F7C"/>
    <w:rsid w:val="6EC425A0"/>
    <w:rsid w:val="6ED728A3"/>
    <w:rsid w:val="6EDBE060"/>
    <w:rsid w:val="6EEEC864"/>
    <w:rsid w:val="6EF52E2B"/>
    <w:rsid w:val="6EFFFFA3"/>
    <w:rsid w:val="6F3B6D06"/>
    <w:rsid w:val="6F796C24"/>
    <w:rsid w:val="6FBD1C66"/>
    <w:rsid w:val="6FC652B4"/>
    <w:rsid w:val="6FCE5473"/>
    <w:rsid w:val="6FCF421A"/>
    <w:rsid w:val="6FD56A49"/>
    <w:rsid w:val="6FDDBEB1"/>
    <w:rsid w:val="6FDEAE90"/>
    <w:rsid w:val="6FEF35F0"/>
    <w:rsid w:val="6FEF7516"/>
    <w:rsid w:val="6FFF2571"/>
    <w:rsid w:val="709352C9"/>
    <w:rsid w:val="716D7562"/>
    <w:rsid w:val="72351AC8"/>
    <w:rsid w:val="72DCFEB8"/>
    <w:rsid w:val="72FD0775"/>
    <w:rsid w:val="72FD61CA"/>
    <w:rsid w:val="730D7B4A"/>
    <w:rsid w:val="73B83F07"/>
    <w:rsid w:val="74FE9BBC"/>
    <w:rsid w:val="759EFC48"/>
    <w:rsid w:val="75AAE82C"/>
    <w:rsid w:val="75CF71D6"/>
    <w:rsid w:val="75EF6D71"/>
    <w:rsid w:val="75FC1E55"/>
    <w:rsid w:val="75FF1DE8"/>
    <w:rsid w:val="76C55B25"/>
    <w:rsid w:val="76FDB013"/>
    <w:rsid w:val="76FEDC3E"/>
    <w:rsid w:val="775FAF9D"/>
    <w:rsid w:val="77BB6CBA"/>
    <w:rsid w:val="77BF99AF"/>
    <w:rsid w:val="77CF7B15"/>
    <w:rsid w:val="77EB5ACE"/>
    <w:rsid w:val="77EE6B52"/>
    <w:rsid w:val="77EFF114"/>
    <w:rsid w:val="77F55C08"/>
    <w:rsid w:val="7853E52E"/>
    <w:rsid w:val="78AE45D3"/>
    <w:rsid w:val="78EB692E"/>
    <w:rsid w:val="78ED3F2D"/>
    <w:rsid w:val="79AA1DF9"/>
    <w:rsid w:val="79CD1586"/>
    <w:rsid w:val="79EF3947"/>
    <w:rsid w:val="79F98A5C"/>
    <w:rsid w:val="7A5C5530"/>
    <w:rsid w:val="7ABB198B"/>
    <w:rsid w:val="7AFF2434"/>
    <w:rsid w:val="7B274E79"/>
    <w:rsid w:val="7B3B912A"/>
    <w:rsid w:val="7B778C21"/>
    <w:rsid w:val="7B7F8380"/>
    <w:rsid w:val="7B9F22C9"/>
    <w:rsid w:val="7BB13F29"/>
    <w:rsid w:val="7BB9D383"/>
    <w:rsid w:val="7BBB3F8A"/>
    <w:rsid w:val="7BDD5541"/>
    <w:rsid w:val="7BEFA7D3"/>
    <w:rsid w:val="7BF9007B"/>
    <w:rsid w:val="7BFE6D6C"/>
    <w:rsid w:val="7BFE8DBA"/>
    <w:rsid w:val="7BFF104A"/>
    <w:rsid w:val="7BFFA24F"/>
    <w:rsid w:val="7BFFCFC8"/>
    <w:rsid w:val="7C52DE9E"/>
    <w:rsid w:val="7CB93E36"/>
    <w:rsid w:val="7CBF63EE"/>
    <w:rsid w:val="7CD68A4D"/>
    <w:rsid w:val="7CF348BB"/>
    <w:rsid w:val="7CF66685"/>
    <w:rsid w:val="7CF7E228"/>
    <w:rsid w:val="7D777A3E"/>
    <w:rsid w:val="7D7D0A6E"/>
    <w:rsid w:val="7D822954"/>
    <w:rsid w:val="7D92D260"/>
    <w:rsid w:val="7D945F7A"/>
    <w:rsid w:val="7DB87990"/>
    <w:rsid w:val="7DBF3D7A"/>
    <w:rsid w:val="7DC341D0"/>
    <w:rsid w:val="7DC7236D"/>
    <w:rsid w:val="7DDF35B7"/>
    <w:rsid w:val="7DEFE2B0"/>
    <w:rsid w:val="7DF69139"/>
    <w:rsid w:val="7DFF6192"/>
    <w:rsid w:val="7E1776D9"/>
    <w:rsid w:val="7E1C9E7D"/>
    <w:rsid w:val="7E1D1246"/>
    <w:rsid w:val="7E4EE88D"/>
    <w:rsid w:val="7E7B9085"/>
    <w:rsid w:val="7E7D620E"/>
    <w:rsid w:val="7E7E157B"/>
    <w:rsid w:val="7EABB1DB"/>
    <w:rsid w:val="7EEACBB4"/>
    <w:rsid w:val="7EEBE522"/>
    <w:rsid w:val="7EEDA1C1"/>
    <w:rsid w:val="7EF352CF"/>
    <w:rsid w:val="7EFDA722"/>
    <w:rsid w:val="7F0E1F67"/>
    <w:rsid w:val="7F4F254E"/>
    <w:rsid w:val="7F7B0A78"/>
    <w:rsid w:val="7F7B1093"/>
    <w:rsid w:val="7F7F210F"/>
    <w:rsid w:val="7F9F8BE6"/>
    <w:rsid w:val="7FAE104A"/>
    <w:rsid w:val="7FB7C3E5"/>
    <w:rsid w:val="7FBD55F6"/>
    <w:rsid w:val="7FBDC86F"/>
    <w:rsid w:val="7FBF760D"/>
    <w:rsid w:val="7FDD381F"/>
    <w:rsid w:val="7FDF286A"/>
    <w:rsid w:val="7FDF3DA7"/>
    <w:rsid w:val="7FDFD408"/>
    <w:rsid w:val="7FDFDC83"/>
    <w:rsid w:val="7FE7D1FF"/>
    <w:rsid w:val="7FEB3653"/>
    <w:rsid w:val="7FED0CD2"/>
    <w:rsid w:val="7FEF17A3"/>
    <w:rsid w:val="7FEFB78E"/>
    <w:rsid w:val="7FEFE78D"/>
    <w:rsid w:val="7FF36396"/>
    <w:rsid w:val="7FF6FD07"/>
    <w:rsid w:val="7FF760A3"/>
    <w:rsid w:val="7FFB926D"/>
    <w:rsid w:val="7FFD0594"/>
    <w:rsid w:val="7FFD4CDB"/>
    <w:rsid w:val="7FFD8718"/>
    <w:rsid w:val="7FFEC6DC"/>
    <w:rsid w:val="7FFF1C07"/>
    <w:rsid w:val="7FFF5237"/>
    <w:rsid w:val="872B127B"/>
    <w:rsid w:val="8BEF4CCB"/>
    <w:rsid w:val="9B6B9B1E"/>
    <w:rsid w:val="9D4521A4"/>
    <w:rsid w:val="9EE84EFE"/>
    <w:rsid w:val="9FF7CF53"/>
    <w:rsid w:val="9FFEAB6B"/>
    <w:rsid w:val="A79F3F78"/>
    <w:rsid w:val="AA7D2708"/>
    <w:rsid w:val="ABFF9266"/>
    <w:rsid w:val="ACBF44B6"/>
    <w:rsid w:val="AD3AF853"/>
    <w:rsid w:val="ADAD813A"/>
    <w:rsid w:val="AF3763B1"/>
    <w:rsid w:val="AF5140AC"/>
    <w:rsid w:val="AFBB95EA"/>
    <w:rsid w:val="AFBF0AEE"/>
    <w:rsid w:val="AFF5A2B0"/>
    <w:rsid w:val="B0B2DE38"/>
    <w:rsid w:val="B0FF126F"/>
    <w:rsid w:val="B1CF78D1"/>
    <w:rsid w:val="B276C3F6"/>
    <w:rsid w:val="B33F050B"/>
    <w:rsid w:val="B4DEF81A"/>
    <w:rsid w:val="B57BBE6B"/>
    <w:rsid w:val="B6FB791D"/>
    <w:rsid w:val="B75F4CD4"/>
    <w:rsid w:val="B777DBB8"/>
    <w:rsid w:val="B7A7FF9C"/>
    <w:rsid w:val="B7F53C4B"/>
    <w:rsid w:val="B7F5446D"/>
    <w:rsid w:val="B7FDCB6B"/>
    <w:rsid w:val="B96D3BA5"/>
    <w:rsid w:val="B9BCC3B6"/>
    <w:rsid w:val="B9FDA05C"/>
    <w:rsid w:val="BA4F609E"/>
    <w:rsid w:val="BAE2DD74"/>
    <w:rsid w:val="BB9BADDD"/>
    <w:rsid w:val="BBF5DA75"/>
    <w:rsid w:val="BBFBA674"/>
    <w:rsid w:val="BBFDF8C9"/>
    <w:rsid w:val="BBFEA1E6"/>
    <w:rsid w:val="BCCE1EFF"/>
    <w:rsid w:val="BD5BD536"/>
    <w:rsid w:val="BD9B453D"/>
    <w:rsid w:val="BDDB2233"/>
    <w:rsid w:val="BDFF3255"/>
    <w:rsid w:val="BEF4B52C"/>
    <w:rsid w:val="BEFEE91A"/>
    <w:rsid w:val="BF9C034D"/>
    <w:rsid w:val="BF9F5EFA"/>
    <w:rsid w:val="BFADB9F0"/>
    <w:rsid w:val="BFBBFC76"/>
    <w:rsid w:val="BFBEEA2C"/>
    <w:rsid w:val="BFD62B5E"/>
    <w:rsid w:val="BFDBA743"/>
    <w:rsid w:val="BFDC4318"/>
    <w:rsid w:val="BFE3E5F3"/>
    <w:rsid w:val="BFFC2189"/>
    <w:rsid w:val="BFFDE590"/>
    <w:rsid w:val="BFFF36C6"/>
    <w:rsid w:val="BFFF775B"/>
    <w:rsid w:val="C4EF3215"/>
    <w:rsid w:val="C76A81BA"/>
    <w:rsid w:val="C7BF20C9"/>
    <w:rsid w:val="C7C6A406"/>
    <w:rsid w:val="C7FAD4CA"/>
    <w:rsid w:val="C7FFFD5C"/>
    <w:rsid w:val="C8FE9482"/>
    <w:rsid w:val="C997B78B"/>
    <w:rsid w:val="C9EF3E99"/>
    <w:rsid w:val="CAFD0D85"/>
    <w:rsid w:val="CBDE9A7C"/>
    <w:rsid w:val="CBE307AB"/>
    <w:rsid w:val="CDDB2C2E"/>
    <w:rsid w:val="CF5F91E4"/>
    <w:rsid w:val="CFDB0226"/>
    <w:rsid w:val="CFF9F70A"/>
    <w:rsid w:val="CFFF7FDA"/>
    <w:rsid w:val="D1EFA267"/>
    <w:rsid w:val="D3BFBA37"/>
    <w:rsid w:val="D3EB8E82"/>
    <w:rsid w:val="D45EAAEE"/>
    <w:rsid w:val="D5DE0343"/>
    <w:rsid w:val="D6F85780"/>
    <w:rsid w:val="D74EAFE7"/>
    <w:rsid w:val="D7BC6ECA"/>
    <w:rsid w:val="D7BF7E18"/>
    <w:rsid w:val="DB4F9B0B"/>
    <w:rsid w:val="DB5F4B2E"/>
    <w:rsid w:val="DB9BA2C2"/>
    <w:rsid w:val="DBBF3875"/>
    <w:rsid w:val="DBDFB749"/>
    <w:rsid w:val="DBFA8B0E"/>
    <w:rsid w:val="DC245D66"/>
    <w:rsid w:val="DCF61622"/>
    <w:rsid w:val="DCFEBF37"/>
    <w:rsid w:val="DD26621B"/>
    <w:rsid w:val="DD6FA634"/>
    <w:rsid w:val="DDEB67B1"/>
    <w:rsid w:val="DDED9C7A"/>
    <w:rsid w:val="DDEE4D7A"/>
    <w:rsid w:val="DE5DE666"/>
    <w:rsid w:val="DE62212B"/>
    <w:rsid w:val="DEEF2D39"/>
    <w:rsid w:val="DEFA8C35"/>
    <w:rsid w:val="DEFE400E"/>
    <w:rsid w:val="DF2DC410"/>
    <w:rsid w:val="DF35B340"/>
    <w:rsid w:val="DF5F1D53"/>
    <w:rsid w:val="DF6D2E41"/>
    <w:rsid w:val="DF6FBF55"/>
    <w:rsid w:val="DF72BF83"/>
    <w:rsid w:val="DF7BCD89"/>
    <w:rsid w:val="DF7F28D0"/>
    <w:rsid w:val="DF7F2E83"/>
    <w:rsid w:val="DFA79C8A"/>
    <w:rsid w:val="DFBB06D5"/>
    <w:rsid w:val="DFD7F751"/>
    <w:rsid w:val="DFDF336C"/>
    <w:rsid w:val="DFDFE5DF"/>
    <w:rsid w:val="DFEDD2FD"/>
    <w:rsid w:val="DFEE9739"/>
    <w:rsid w:val="DFFB40AC"/>
    <w:rsid w:val="DFFD9EE5"/>
    <w:rsid w:val="DFFED10A"/>
    <w:rsid w:val="DFFF352E"/>
    <w:rsid w:val="E0367385"/>
    <w:rsid w:val="E1FFFEE8"/>
    <w:rsid w:val="E2BF53CA"/>
    <w:rsid w:val="E35AE1E2"/>
    <w:rsid w:val="E35B19D5"/>
    <w:rsid w:val="E4C90FC7"/>
    <w:rsid w:val="E543A527"/>
    <w:rsid w:val="E5759C70"/>
    <w:rsid w:val="E57D7004"/>
    <w:rsid w:val="E57F1527"/>
    <w:rsid w:val="E6FF0072"/>
    <w:rsid w:val="E73EA519"/>
    <w:rsid w:val="E7DD1E34"/>
    <w:rsid w:val="E7F9479E"/>
    <w:rsid w:val="E7FBEC85"/>
    <w:rsid w:val="E7FFE7D6"/>
    <w:rsid w:val="E97F40C1"/>
    <w:rsid w:val="EA3DEB5D"/>
    <w:rsid w:val="EA8B13B2"/>
    <w:rsid w:val="EAD2F31E"/>
    <w:rsid w:val="EB3F3815"/>
    <w:rsid w:val="EB7EBA5F"/>
    <w:rsid w:val="EBFF4B9F"/>
    <w:rsid w:val="EBFF7C37"/>
    <w:rsid w:val="EBFFCF97"/>
    <w:rsid w:val="EC45EA4C"/>
    <w:rsid w:val="ED2F9BF9"/>
    <w:rsid w:val="ED5EE01C"/>
    <w:rsid w:val="EDA3EDFD"/>
    <w:rsid w:val="EDEB5D99"/>
    <w:rsid w:val="EDEF0884"/>
    <w:rsid w:val="EDFDA136"/>
    <w:rsid w:val="EE77B2A4"/>
    <w:rsid w:val="EE7A43C4"/>
    <w:rsid w:val="EEB6308B"/>
    <w:rsid w:val="EEBD2E04"/>
    <w:rsid w:val="EEEF624F"/>
    <w:rsid w:val="EEFB853C"/>
    <w:rsid w:val="EEFDD2C9"/>
    <w:rsid w:val="EEFE70D0"/>
    <w:rsid w:val="EF57EFD5"/>
    <w:rsid w:val="EF961E34"/>
    <w:rsid w:val="EF984D69"/>
    <w:rsid w:val="EFABD086"/>
    <w:rsid w:val="EFAFE7B8"/>
    <w:rsid w:val="EFBFA90F"/>
    <w:rsid w:val="EFCA407F"/>
    <w:rsid w:val="EFCB5508"/>
    <w:rsid w:val="EFDB1B39"/>
    <w:rsid w:val="EFE88429"/>
    <w:rsid w:val="EFEDE6B2"/>
    <w:rsid w:val="EFEF304B"/>
    <w:rsid w:val="EFF69161"/>
    <w:rsid w:val="EFF7D1CE"/>
    <w:rsid w:val="EFF93907"/>
    <w:rsid w:val="EFFD7A1B"/>
    <w:rsid w:val="F06FFD9E"/>
    <w:rsid w:val="F0BFBF55"/>
    <w:rsid w:val="F1D758F0"/>
    <w:rsid w:val="F2378386"/>
    <w:rsid w:val="F3BF1840"/>
    <w:rsid w:val="F47F9FC2"/>
    <w:rsid w:val="F4A7ACF7"/>
    <w:rsid w:val="F4EE8E00"/>
    <w:rsid w:val="F4F905D9"/>
    <w:rsid w:val="F4FBB383"/>
    <w:rsid w:val="F597D8F8"/>
    <w:rsid w:val="F5FE6850"/>
    <w:rsid w:val="F5FF33EB"/>
    <w:rsid w:val="F5FF48CE"/>
    <w:rsid w:val="F5FFB55C"/>
    <w:rsid w:val="F6D20587"/>
    <w:rsid w:val="F6F6B070"/>
    <w:rsid w:val="F6FF2205"/>
    <w:rsid w:val="F733C6DB"/>
    <w:rsid w:val="F75B4A3F"/>
    <w:rsid w:val="F75F2899"/>
    <w:rsid w:val="F77B432C"/>
    <w:rsid w:val="F77B9D0F"/>
    <w:rsid w:val="F79308A9"/>
    <w:rsid w:val="F7A6B47E"/>
    <w:rsid w:val="F7AB50E2"/>
    <w:rsid w:val="F7B76A67"/>
    <w:rsid w:val="F7CD27FC"/>
    <w:rsid w:val="F7DE34E1"/>
    <w:rsid w:val="F7F3D366"/>
    <w:rsid w:val="F7F70199"/>
    <w:rsid w:val="F963C3D1"/>
    <w:rsid w:val="F99F5410"/>
    <w:rsid w:val="F9C72110"/>
    <w:rsid w:val="FA7B6B12"/>
    <w:rsid w:val="FAB2BA06"/>
    <w:rsid w:val="FABA0B6A"/>
    <w:rsid w:val="FAD5924C"/>
    <w:rsid w:val="FAFE06A2"/>
    <w:rsid w:val="FB171707"/>
    <w:rsid w:val="FB368360"/>
    <w:rsid w:val="FB7BFEE1"/>
    <w:rsid w:val="FB7FE3BF"/>
    <w:rsid w:val="FBAC7054"/>
    <w:rsid w:val="FBBDA04A"/>
    <w:rsid w:val="FBD6F03C"/>
    <w:rsid w:val="FBDF513F"/>
    <w:rsid w:val="FBE5C035"/>
    <w:rsid w:val="FBE7D807"/>
    <w:rsid w:val="FBEF1B8A"/>
    <w:rsid w:val="FBF25C15"/>
    <w:rsid w:val="FBFF59DA"/>
    <w:rsid w:val="FC570BB1"/>
    <w:rsid w:val="FC77FF6F"/>
    <w:rsid w:val="FC7B33B2"/>
    <w:rsid w:val="FC9D0564"/>
    <w:rsid w:val="FCF76F9D"/>
    <w:rsid w:val="FCF7A4F2"/>
    <w:rsid w:val="FCFBCD42"/>
    <w:rsid w:val="FCFE9CD0"/>
    <w:rsid w:val="FCFF7C11"/>
    <w:rsid w:val="FD7F235E"/>
    <w:rsid w:val="FD7FB17E"/>
    <w:rsid w:val="FD9DC413"/>
    <w:rsid w:val="FDB4CA42"/>
    <w:rsid w:val="FDB5BBD2"/>
    <w:rsid w:val="FDB90AA5"/>
    <w:rsid w:val="FDBBF652"/>
    <w:rsid w:val="FDDD655C"/>
    <w:rsid w:val="FDDFFB02"/>
    <w:rsid w:val="FDE7C5B2"/>
    <w:rsid w:val="FDF15A12"/>
    <w:rsid w:val="FDFD7CFB"/>
    <w:rsid w:val="FDFEA4C7"/>
    <w:rsid w:val="FE363265"/>
    <w:rsid w:val="FE7572E7"/>
    <w:rsid w:val="FEC3CD3F"/>
    <w:rsid w:val="FECBEB91"/>
    <w:rsid w:val="FEF47ACC"/>
    <w:rsid w:val="FEFB2E19"/>
    <w:rsid w:val="FEFB7520"/>
    <w:rsid w:val="FEFF5C3B"/>
    <w:rsid w:val="FEFFB5F3"/>
    <w:rsid w:val="FEFFD9A1"/>
    <w:rsid w:val="FEFFF42C"/>
    <w:rsid w:val="FF29B625"/>
    <w:rsid w:val="FF4E2B9D"/>
    <w:rsid w:val="FF5D2172"/>
    <w:rsid w:val="FF6DADF3"/>
    <w:rsid w:val="FF6E646C"/>
    <w:rsid w:val="FF76CBC0"/>
    <w:rsid w:val="FF77121D"/>
    <w:rsid w:val="FF7B9C46"/>
    <w:rsid w:val="FF7CAFD1"/>
    <w:rsid w:val="FF7E1BA8"/>
    <w:rsid w:val="FF7E1D26"/>
    <w:rsid w:val="FF7F786F"/>
    <w:rsid w:val="FF7FD7A0"/>
    <w:rsid w:val="FF96150F"/>
    <w:rsid w:val="FF99D056"/>
    <w:rsid w:val="FFA5E93C"/>
    <w:rsid w:val="FFA5F56E"/>
    <w:rsid w:val="FFAB9C6C"/>
    <w:rsid w:val="FFAFBF1A"/>
    <w:rsid w:val="FFB99A34"/>
    <w:rsid w:val="FFBDE74E"/>
    <w:rsid w:val="FFBEC6E4"/>
    <w:rsid w:val="FFBF6430"/>
    <w:rsid w:val="FFCEB445"/>
    <w:rsid w:val="FFD5CF0B"/>
    <w:rsid w:val="FFD5DAE7"/>
    <w:rsid w:val="FFD61AB1"/>
    <w:rsid w:val="FFDB6BD9"/>
    <w:rsid w:val="FFE55ADF"/>
    <w:rsid w:val="FFE83202"/>
    <w:rsid w:val="FFEB7F58"/>
    <w:rsid w:val="FFF65310"/>
    <w:rsid w:val="FFF71CA4"/>
    <w:rsid w:val="FFF720AE"/>
    <w:rsid w:val="FFF75824"/>
    <w:rsid w:val="FFF7A0D1"/>
    <w:rsid w:val="FFF90EFC"/>
    <w:rsid w:val="FFF9557D"/>
    <w:rsid w:val="FFFB7468"/>
    <w:rsid w:val="FFFCA075"/>
    <w:rsid w:val="FFFDD8D9"/>
    <w:rsid w:val="FFFE13B6"/>
    <w:rsid w:val="FFFE8C6F"/>
    <w:rsid w:val="FFFF3F55"/>
    <w:rsid w:val="FFFF4889"/>
    <w:rsid w:val="FFFF6061"/>
    <w:rsid w:val="FFFF7221"/>
    <w:rsid w:val="FFFF72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6">
    <w:name w:val="heading 3"/>
    <w:basedOn w:val="1"/>
    <w:next w:val="1"/>
    <w:link w:val="15"/>
    <w:semiHidden/>
    <w:unhideWhenUsed/>
    <w:qFormat/>
    <w:uiPriority w:val="0"/>
    <w:pPr>
      <w:keepNext/>
      <w:keepLines/>
      <w:spacing w:before="260" w:beforeLines="0" w:beforeAutospacing="0" w:after="260" w:afterLines="0" w:afterAutospacing="0" w:line="413" w:lineRule="auto"/>
      <w:outlineLvl w:val="2"/>
    </w:pPr>
    <w:rPr>
      <w:rFonts w:eastAsia="黑体" w:asciiTheme="minorAscii" w:hAnsiTheme="minorAscii"/>
      <w:b/>
      <w:sz w:val="28"/>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jc w:val="left"/>
    </w:pPr>
    <w:rPr>
      <w:sz w:val="32"/>
    </w:rPr>
  </w:style>
  <w:style w:type="paragraph" w:styleId="3">
    <w:name w:val="Body Text Indent"/>
    <w:basedOn w:val="1"/>
    <w:next w:val="1"/>
    <w:qFormat/>
    <w:uiPriority w:val="0"/>
    <w:pPr>
      <w:ind w:firstLine="200" w:firstLineChars="200"/>
    </w:pPr>
  </w:style>
  <w:style w:type="paragraph" w:styleId="4">
    <w:name w:val="Body Text First Indent"/>
    <w:basedOn w:val="5"/>
    <w:next w:val="2"/>
    <w:qFormat/>
    <w:uiPriority w:val="0"/>
    <w:pPr>
      <w:ind w:firstLine="100" w:firstLineChars="100"/>
    </w:pPr>
  </w:style>
  <w:style w:type="paragraph" w:styleId="5">
    <w:name w:val="Body Text"/>
    <w:basedOn w:val="1"/>
    <w:next w:val="4"/>
    <w:qFormat/>
    <w:uiPriority w:val="99"/>
    <w:pPr>
      <w:jc w:val="center"/>
    </w:pPr>
    <w:rPr>
      <w:rFonts w:eastAsia="黑体"/>
      <w:sz w:val="44"/>
    </w:rPr>
  </w:style>
  <w:style w:type="paragraph" w:styleId="7">
    <w:name w:val="index 5"/>
    <w:basedOn w:val="1"/>
    <w:next w:val="1"/>
    <w:qFormat/>
    <w:uiPriority w:val="0"/>
    <w:pPr>
      <w:ind w:left="1680"/>
    </w:pPr>
  </w:style>
  <w:style w:type="paragraph" w:styleId="8">
    <w:name w:val="footer"/>
    <w:basedOn w:val="1"/>
    <w:next w:val="7"/>
    <w:unhideWhenUsed/>
    <w:qFormat/>
    <w:uiPriority w:val="99"/>
    <w:pPr>
      <w:tabs>
        <w:tab w:val="center" w:pos="4153"/>
        <w:tab w:val="right" w:pos="8306"/>
      </w:tabs>
      <w:snapToGrid w:val="0"/>
      <w:jc w:val="left"/>
    </w:pPr>
    <w:rPr>
      <w:sz w:val="18"/>
      <w:szCs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rPr>
  </w:style>
  <w:style w:type="character" w:styleId="13">
    <w:name w:val="Hyperlink"/>
    <w:basedOn w:val="11"/>
    <w:unhideWhenUsed/>
    <w:qFormat/>
    <w:uiPriority w:val="99"/>
    <w:rPr>
      <w:color w:val="0000FF"/>
      <w:u w:val="single"/>
    </w:rPr>
  </w:style>
  <w:style w:type="paragraph" w:customStyle="1" w:styleId="14">
    <w:name w:val="BodyText"/>
    <w:basedOn w:val="1"/>
    <w:qFormat/>
    <w:uiPriority w:val="0"/>
    <w:pPr>
      <w:spacing w:after="120"/>
      <w:textAlignment w:val="baseline"/>
    </w:pPr>
  </w:style>
  <w:style w:type="character" w:customStyle="1" w:styleId="15">
    <w:name w:val="标题 3 Char"/>
    <w:link w:val="6"/>
    <w:qFormat/>
    <w:uiPriority w:val="0"/>
    <w:rPr>
      <w:rFonts w:eastAsia="黑体" w:asciiTheme="minorAscii" w:hAnsiTheme="minorAscii"/>
      <w:b/>
      <w:sz w:val="28"/>
    </w:rPr>
  </w:style>
  <w:style w:type="paragraph" w:customStyle="1" w:styleId="16">
    <w:name w:val="列出段落"/>
    <w:basedOn w:val="1"/>
    <w:qFormat/>
    <w:uiPriority w:val="0"/>
    <w:pPr>
      <w:ind w:firstLine="420" w:firstLineChars="200"/>
    </w:pPr>
    <w:rPr>
      <w:rFonts w:ascii="Calibri" w:hAnsi="Calibri"/>
      <w:szCs w:val="22"/>
    </w:rPr>
  </w:style>
  <w:style w:type="paragraph" w:customStyle="1" w:styleId="17">
    <w:name w:val="TOAHeading"/>
    <w:basedOn w:val="1"/>
    <w:next w:val="1"/>
    <w:qFormat/>
    <w:uiPriority w:val="0"/>
    <w:pPr>
      <w:spacing w:before="120"/>
    </w:pPr>
    <w:rPr>
      <w:rFonts w:ascii="Cambria" w:hAnsi="Cambria"/>
      <w:sz w:val="24"/>
    </w:rPr>
  </w:style>
  <w:style w:type="character" w:customStyle="1" w:styleId="18">
    <w:name w:val="font61"/>
    <w:basedOn w:val="11"/>
    <w:qFormat/>
    <w:uiPriority w:val="0"/>
    <w:rPr>
      <w:rFonts w:hint="default" w:ascii="Times New Roman" w:hAnsi="Times New Roman" w:cs="Times New Roman"/>
      <w:color w:val="000000"/>
      <w:sz w:val="18"/>
      <w:szCs w:val="18"/>
      <w:u w:val="none"/>
    </w:rPr>
  </w:style>
  <w:style w:type="character" w:customStyle="1" w:styleId="19">
    <w:name w:val="font31"/>
    <w:basedOn w:val="11"/>
    <w:qFormat/>
    <w:uiPriority w:val="0"/>
    <w:rPr>
      <w:rFonts w:hint="eastAsia" w:ascii="仿宋" w:hAnsi="仿宋" w:eastAsia="仿宋" w:cs="仿宋"/>
      <w:color w:val="000000"/>
      <w:sz w:val="18"/>
      <w:szCs w:val="18"/>
      <w:u w:val="none"/>
    </w:rPr>
  </w:style>
  <w:style w:type="character" w:customStyle="1" w:styleId="20">
    <w:name w:val="font21"/>
    <w:basedOn w:val="11"/>
    <w:qFormat/>
    <w:uiPriority w:val="0"/>
    <w:rPr>
      <w:rFonts w:hint="eastAsia" w:ascii="仿宋" w:hAnsi="仿宋" w:eastAsia="仿宋" w:cs="仿宋"/>
      <w:color w:val="000000"/>
      <w:sz w:val="18"/>
      <w:szCs w:val="18"/>
      <w:u w:val="none"/>
    </w:rPr>
  </w:style>
  <w:style w:type="character" w:customStyle="1" w:styleId="21">
    <w:name w:val="font121"/>
    <w:basedOn w:val="11"/>
    <w:qFormat/>
    <w:uiPriority w:val="0"/>
    <w:rPr>
      <w:rFonts w:hint="eastAsia" w:ascii="仿宋_GB2312" w:eastAsia="仿宋_GB2312" w:cs="仿宋_GB2312"/>
      <w:color w:val="000000"/>
      <w:sz w:val="18"/>
      <w:szCs w:val="18"/>
      <w:u w:val="none"/>
    </w:rPr>
  </w:style>
  <w:style w:type="character" w:customStyle="1" w:styleId="22">
    <w:name w:val="font191"/>
    <w:basedOn w:val="11"/>
    <w:qFormat/>
    <w:uiPriority w:val="0"/>
    <w:rPr>
      <w:rFonts w:hint="eastAsia" w:ascii="宋体" w:hAnsi="宋体" w:eastAsia="宋体" w:cs="宋体"/>
      <w:color w:val="000000"/>
      <w:sz w:val="18"/>
      <w:szCs w:val="18"/>
      <w:u w:val="none"/>
    </w:rPr>
  </w:style>
  <w:style w:type="character" w:customStyle="1" w:styleId="23">
    <w:name w:val="font101"/>
    <w:basedOn w:val="11"/>
    <w:qFormat/>
    <w:uiPriority w:val="0"/>
    <w:rPr>
      <w:rFonts w:hint="eastAsia" w:ascii="仿宋_GB2312" w:eastAsia="仿宋_GB2312" w:cs="仿宋_GB2312"/>
      <w:color w:val="000000"/>
      <w:sz w:val="16"/>
      <w:szCs w:val="16"/>
      <w:u w:val="none"/>
    </w:rPr>
  </w:style>
  <w:style w:type="character" w:customStyle="1" w:styleId="24">
    <w:name w:val="font91"/>
    <w:basedOn w:val="11"/>
    <w:qFormat/>
    <w:uiPriority w:val="0"/>
    <w:rPr>
      <w:rFonts w:hint="eastAsia" w:ascii="宋体" w:hAnsi="宋体" w:eastAsia="宋体" w:cs="宋体"/>
      <w:color w:val="000000"/>
      <w:sz w:val="16"/>
      <w:szCs w:val="16"/>
      <w:u w:val="none"/>
    </w:rPr>
  </w:style>
  <w:style w:type="character" w:customStyle="1" w:styleId="25">
    <w:name w:val="font51"/>
    <w:basedOn w:val="11"/>
    <w:qFormat/>
    <w:uiPriority w:val="0"/>
    <w:rPr>
      <w:rFonts w:hint="eastAsia" w:ascii="仿宋_GB2312" w:eastAsia="仿宋_GB2312" w:cs="仿宋_GB2312"/>
      <w:color w:val="000000"/>
      <w:sz w:val="16"/>
      <w:szCs w:val="16"/>
      <w:u w:val="none"/>
    </w:rPr>
  </w:style>
  <w:style w:type="character" w:customStyle="1" w:styleId="26">
    <w:name w:val="font151"/>
    <w:basedOn w:val="11"/>
    <w:qFormat/>
    <w:uiPriority w:val="0"/>
    <w:rPr>
      <w:rFonts w:hint="eastAsia" w:ascii="宋体" w:hAnsi="宋体" w:eastAsia="宋体" w:cs="宋体"/>
      <w:color w:val="000000"/>
      <w:sz w:val="16"/>
      <w:szCs w:val="16"/>
      <w:u w:val="none"/>
    </w:rPr>
  </w:style>
  <w:style w:type="character" w:customStyle="1" w:styleId="27">
    <w:name w:val="font111"/>
    <w:basedOn w:val="11"/>
    <w:qFormat/>
    <w:uiPriority w:val="0"/>
    <w:rPr>
      <w:rFonts w:hint="eastAsia" w:ascii="仿宋_GB2312" w:eastAsia="仿宋_GB2312" w:cs="仿宋_GB2312"/>
      <w:color w:val="000000"/>
      <w:sz w:val="20"/>
      <w:szCs w:val="20"/>
      <w:u w:val="none"/>
    </w:rPr>
  </w:style>
  <w:style w:type="character" w:customStyle="1" w:styleId="28">
    <w:name w:val="font18"/>
    <w:basedOn w:val="11"/>
    <w:qFormat/>
    <w:uiPriority w:val="0"/>
    <w:rPr>
      <w:rFonts w:hint="eastAsia" w:ascii="宋体" w:hAnsi="宋体" w:eastAsia="宋体" w:cs="宋体"/>
      <w:color w:val="000000"/>
      <w:sz w:val="20"/>
      <w:szCs w:val="20"/>
      <w:u w:val="none"/>
    </w:rPr>
  </w:style>
  <w:style w:type="character" w:customStyle="1" w:styleId="29">
    <w:name w:val="font161"/>
    <w:basedOn w:val="11"/>
    <w:qFormat/>
    <w:uiPriority w:val="0"/>
    <w:rPr>
      <w:rFonts w:hint="eastAsia" w:ascii="仿宋_GB2312" w:eastAsia="仿宋_GB2312" w:cs="仿宋_GB2312"/>
      <w:b/>
      <w:color w:val="000000"/>
      <w:sz w:val="16"/>
      <w:szCs w:val="16"/>
      <w:u w:val="none"/>
    </w:rPr>
  </w:style>
  <w:style w:type="character" w:customStyle="1" w:styleId="30">
    <w:name w:val="font01"/>
    <w:basedOn w:val="11"/>
    <w:qFormat/>
    <w:uiPriority w:val="0"/>
    <w:rPr>
      <w:rFonts w:hint="eastAsia" w:ascii="宋体" w:hAnsi="宋体" w:eastAsia="宋体" w:cs="宋体"/>
      <w:b/>
      <w:color w:val="000000"/>
      <w:sz w:val="16"/>
      <w:szCs w:val="16"/>
      <w:u w:val="none"/>
    </w:rPr>
  </w:style>
  <w:style w:type="character" w:customStyle="1" w:styleId="31">
    <w:name w:val="font171"/>
    <w:basedOn w:val="11"/>
    <w:qFormat/>
    <w:uiPriority w:val="0"/>
    <w:rPr>
      <w:rFonts w:hint="eastAsia" w:ascii="宋体" w:hAnsi="宋体" w:eastAsia="宋体" w:cs="宋体"/>
      <w:color w:val="000000"/>
      <w:sz w:val="16"/>
      <w:szCs w:val="16"/>
      <w:u w:val="none"/>
    </w:rPr>
  </w:style>
  <w:style w:type="character" w:customStyle="1" w:styleId="32">
    <w:name w:val="NormalCharacter"/>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34</Pages>
  <Words>14464</Words>
  <Characters>16385</Characters>
  <Lines>0</Lines>
  <Paragraphs>0</Paragraphs>
  <TotalTime>0</TotalTime>
  <ScaleCrop>false</ScaleCrop>
  <LinksUpToDate>false</LinksUpToDate>
  <CharactersWithSpaces>16527</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2022-06-13T11:05:00Z</dcterms:created>
  <dc:creator>一口口吹着泡泡走过o</dc:creator>
  <cp:lastModifiedBy>greatwall</cp:lastModifiedBy>
  <dcterms:modified xsi:type="dcterms:W3CDTF">2023-06-26T14:48:48Z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0D0C267FBD8849609D3CCD41D0227C72</vt:lpwstr>
  </property>
</Properties>
</file>